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7CA95" w14:textId="4997D093" w:rsidR="00DE0A9C" w:rsidRPr="00141656" w:rsidRDefault="00DE0A9C" w:rsidP="00DE0A9C">
      <w:pPr>
        <w:pStyle w:val="3GPPHeader"/>
        <w:spacing w:line="288" w:lineRule="auto"/>
        <w:rPr>
          <w:szCs w:val="24"/>
        </w:rPr>
      </w:pPr>
      <w:r w:rsidRPr="00141656">
        <w:rPr>
          <w:szCs w:val="24"/>
        </w:rPr>
        <w:t>3GP</w:t>
      </w:r>
      <w:r>
        <w:rPr>
          <w:szCs w:val="24"/>
        </w:rPr>
        <w:t>P TSG-RAN WG2 Meeting #12</w:t>
      </w:r>
      <w:r>
        <w:rPr>
          <w:rFonts w:hint="eastAsia"/>
          <w:szCs w:val="24"/>
        </w:rPr>
        <w:t>3</w:t>
      </w:r>
      <w:r w:rsidR="009F1797">
        <w:rPr>
          <w:rFonts w:hint="eastAsia"/>
          <w:szCs w:val="24"/>
        </w:rPr>
        <w:t>bis</w:t>
      </w:r>
      <w:r>
        <w:rPr>
          <w:szCs w:val="24"/>
        </w:rPr>
        <w:tab/>
        <w:t>R2-2</w:t>
      </w:r>
      <w:r w:rsidR="000C4C1F">
        <w:rPr>
          <w:rFonts w:hint="eastAsia"/>
          <w:szCs w:val="24"/>
        </w:rPr>
        <w:t>3</w:t>
      </w:r>
      <w:r w:rsidR="00207F66" w:rsidRPr="00207F66">
        <w:rPr>
          <w:szCs w:val="24"/>
        </w:rPr>
        <w:t>10450</w:t>
      </w:r>
    </w:p>
    <w:p w14:paraId="5FF390F1" w14:textId="13566A28" w:rsidR="00DE0A9C" w:rsidRDefault="009F1797" w:rsidP="00DE0A9C">
      <w:pPr>
        <w:pStyle w:val="3GPPHeader"/>
        <w:spacing w:line="288" w:lineRule="auto"/>
        <w:rPr>
          <w:szCs w:val="24"/>
        </w:rPr>
      </w:pPr>
      <w:r>
        <w:rPr>
          <w:rFonts w:hint="eastAsia"/>
          <w:szCs w:val="24"/>
        </w:rPr>
        <w:t>Xiamen, China, October 9-13, 2023</w:t>
      </w:r>
    </w:p>
    <w:p w14:paraId="1E0C6417" w14:textId="77777777" w:rsidR="00DE0A9C" w:rsidRPr="003F2679" w:rsidRDefault="00DE0A9C" w:rsidP="00DE0A9C">
      <w:pPr>
        <w:pStyle w:val="3GPPHeader"/>
        <w:spacing w:line="288" w:lineRule="auto"/>
        <w:rPr>
          <w:szCs w:val="24"/>
        </w:rPr>
      </w:pPr>
    </w:p>
    <w:p w14:paraId="7F4474A6" w14:textId="53427DCD"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013D4E">
        <w:rPr>
          <w:rFonts w:hint="eastAsia"/>
          <w:szCs w:val="24"/>
        </w:rPr>
        <w:t>7</w:t>
      </w:r>
      <w:r w:rsidR="0028245D" w:rsidRPr="003F2679">
        <w:rPr>
          <w:rFonts w:hint="eastAsia"/>
          <w:szCs w:val="24"/>
        </w:rPr>
        <w:t>.</w:t>
      </w:r>
      <w:r w:rsidR="0023731B">
        <w:rPr>
          <w:rFonts w:hint="eastAsia"/>
          <w:szCs w:val="24"/>
        </w:rPr>
        <w:t>18.3</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bookmarkStart w:id="0" w:name="_GoBack"/>
      <w:bookmarkEnd w:id="0"/>
    </w:p>
    <w:p w14:paraId="77BCF734" w14:textId="60E55EA7"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AE3AAF" w:rsidRPr="00AE3AAF">
        <w:rPr>
          <w:szCs w:val="24"/>
        </w:rPr>
        <w:t>Discussion the remaining issues on the UE capability on MT-SDT</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7ED5ABFD" w14:textId="249F5741" w:rsidR="00871CE9" w:rsidRDefault="00871CE9" w:rsidP="003F2679">
      <w:pPr>
        <w:pStyle w:val="a8"/>
        <w:spacing w:line="288" w:lineRule="auto"/>
        <w:rPr>
          <w:rFonts w:ascii="Times New Roman" w:hAnsi="Times New Roman"/>
          <w:sz w:val="22"/>
          <w:szCs w:val="22"/>
        </w:rPr>
      </w:pPr>
      <w:r>
        <w:rPr>
          <w:rFonts w:ascii="Times New Roman" w:hAnsi="Times New Roman" w:hint="eastAsia"/>
          <w:sz w:val="22"/>
          <w:szCs w:val="22"/>
        </w:rPr>
        <w:t>In previous RAN2</w:t>
      </w:r>
      <w:r w:rsidR="00AE3AAF">
        <w:rPr>
          <w:rFonts w:ascii="Times New Roman" w:hAnsi="Times New Roman" w:hint="eastAsia"/>
          <w:sz w:val="22"/>
          <w:szCs w:val="22"/>
        </w:rPr>
        <w:t>#123</w:t>
      </w:r>
      <w:r w:rsidR="001E3DEC">
        <w:rPr>
          <w:rFonts w:ascii="Times New Roman" w:hAnsi="Times New Roman" w:hint="eastAsia"/>
          <w:sz w:val="22"/>
          <w:szCs w:val="22"/>
        </w:rPr>
        <w:t xml:space="preserve"> </w:t>
      </w:r>
      <w:r>
        <w:rPr>
          <w:rFonts w:ascii="Times New Roman" w:hAnsi="Times New Roman" w:hint="eastAsia"/>
          <w:sz w:val="22"/>
          <w:szCs w:val="22"/>
        </w:rPr>
        <w:t>meeting</w:t>
      </w:r>
      <w:r w:rsidR="001E3DEC">
        <w:rPr>
          <w:rFonts w:ascii="Times New Roman" w:hAnsi="Times New Roman" w:hint="eastAsia"/>
          <w:sz w:val="22"/>
          <w:szCs w:val="22"/>
        </w:rPr>
        <w:t xml:space="preserve"> [1]</w:t>
      </w:r>
      <w:r>
        <w:rPr>
          <w:rFonts w:ascii="Times New Roman" w:hAnsi="Times New Roman" w:hint="eastAsia"/>
          <w:sz w:val="22"/>
          <w:szCs w:val="22"/>
        </w:rPr>
        <w:t>, we have discussed the</w:t>
      </w:r>
      <w:r w:rsidR="00F50B83">
        <w:rPr>
          <w:rFonts w:ascii="Times New Roman" w:hAnsi="Times New Roman" w:hint="eastAsia"/>
          <w:sz w:val="22"/>
          <w:szCs w:val="22"/>
        </w:rPr>
        <w:t xml:space="preserve"> issues on</w:t>
      </w:r>
      <w:r>
        <w:rPr>
          <w:rFonts w:ascii="Times New Roman" w:hAnsi="Times New Roman" w:hint="eastAsia"/>
          <w:sz w:val="22"/>
          <w:szCs w:val="22"/>
        </w:rPr>
        <w:t xml:space="preserve"> </w:t>
      </w:r>
      <w:r w:rsidR="00AE3AAF">
        <w:rPr>
          <w:rFonts w:ascii="Times New Roman" w:hAnsi="Times New Roman" w:hint="eastAsia"/>
          <w:sz w:val="22"/>
          <w:szCs w:val="22"/>
        </w:rPr>
        <w:t xml:space="preserve">UE capabilities on </w:t>
      </w:r>
      <w:r>
        <w:rPr>
          <w:rFonts w:ascii="Times New Roman" w:hAnsi="Times New Roman" w:hint="eastAsia"/>
          <w:sz w:val="22"/>
          <w:szCs w:val="22"/>
        </w:rPr>
        <w:t xml:space="preserve">MT-SDT and have made </w:t>
      </w:r>
      <w:r w:rsidR="00AE3AAF">
        <w:rPr>
          <w:rFonts w:ascii="Times New Roman" w:hAnsi="Times New Roman" w:hint="eastAsia"/>
          <w:sz w:val="22"/>
          <w:szCs w:val="22"/>
        </w:rPr>
        <w:t>the following</w:t>
      </w:r>
      <w:r w:rsidR="00DE0A9C">
        <w:rPr>
          <w:rFonts w:ascii="Times New Roman" w:hAnsi="Times New Roman" w:hint="eastAsia"/>
          <w:sz w:val="22"/>
          <w:szCs w:val="22"/>
        </w:rPr>
        <w:t xml:space="preserve"> </w:t>
      </w:r>
      <w:r>
        <w:rPr>
          <w:rFonts w:ascii="Times New Roman" w:hAnsi="Times New Roman" w:hint="eastAsia"/>
          <w:sz w:val="22"/>
          <w:szCs w:val="22"/>
        </w:rPr>
        <w:t>agreements:</w:t>
      </w:r>
    </w:p>
    <w:tbl>
      <w:tblPr>
        <w:tblStyle w:val="afa"/>
        <w:tblW w:w="0" w:type="auto"/>
        <w:tblLook w:val="04A0" w:firstRow="1" w:lastRow="0" w:firstColumn="1" w:lastColumn="0" w:noHBand="0" w:noVBand="1"/>
      </w:tblPr>
      <w:tblGrid>
        <w:gridCol w:w="9855"/>
      </w:tblGrid>
      <w:tr w:rsidR="00871CE9" w14:paraId="25BAF0EE" w14:textId="77777777" w:rsidTr="00871CE9">
        <w:tc>
          <w:tcPr>
            <w:tcW w:w="9855" w:type="dxa"/>
          </w:tcPr>
          <w:p w14:paraId="5633E422" w14:textId="77777777" w:rsidR="00AE3AAF" w:rsidRPr="00AE3AAF" w:rsidRDefault="00AE3AAF" w:rsidP="00AE3AAF">
            <w:pPr>
              <w:pStyle w:val="a8"/>
              <w:spacing w:line="288" w:lineRule="auto"/>
              <w:rPr>
                <w:rFonts w:ascii="Times New Roman" w:hAnsi="Times New Roman"/>
                <w:b/>
                <w:sz w:val="22"/>
                <w:szCs w:val="22"/>
              </w:rPr>
            </w:pPr>
            <w:r w:rsidRPr="00AE3AAF">
              <w:rPr>
                <w:rFonts w:ascii="Times New Roman" w:hAnsi="Times New Roman"/>
                <w:b/>
                <w:sz w:val="22"/>
                <w:szCs w:val="22"/>
              </w:rPr>
              <w:t>UE capabilities</w:t>
            </w:r>
          </w:p>
          <w:p w14:paraId="1FC3DD59" w14:textId="77777777" w:rsidR="00AE3AAF" w:rsidRPr="00AE3AAF" w:rsidRDefault="00AE3AAF" w:rsidP="00AE3AAF">
            <w:pPr>
              <w:pStyle w:val="a8"/>
              <w:spacing w:line="288" w:lineRule="auto"/>
              <w:rPr>
                <w:rFonts w:ascii="Times New Roman" w:hAnsi="Times New Roman"/>
                <w:b/>
                <w:sz w:val="22"/>
                <w:szCs w:val="22"/>
              </w:rPr>
            </w:pPr>
            <w:r w:rsidRPr="00AE3AAF">
              <w:rPr>
                <w:rFonts w:ascii="Times New Roman" w:hAnsi="Times New Roman"/>
                <w:b/>
                <w:sz w:val="22"/>
                <w:szCs w:val="22"/>
              </w:rPr>
              <w:t>7.</w:t>
            </w:r>
            <w:r w:rsidRPr="00AE3AAF">
              <w:rPr>
                <w:rFonts w:ascii="Times New Roman" w:hAnsi="Times New Roman"/>
                <w:b/>
                <w:sz w:val="22"/>
                <w:szCs w:val="22"/>
              </w:rPr>
              <w:tab/>
              <w:t xml:space="preserve">A new optional radio capability </w:t>
            </w:r>
            <w:proofErr w:type="spellStart"/>
            <w:r w:rsidRPr="00AE3AAF">
              <w:rPr>
                <w:rFonts w:ascii="Times New Roman" w:hAnsi="Times New Roman"/>
                <w:b/>
                <w:sz w:val="22"/>
                <w:szCs w:val="22"/>
              </w:rPr>
              <w:t>signaling</w:t>
            </w:r>
            <w:proofErr w:type="spellEnd"/>
            <w:r w:rsidRPr="00AE3AAF">
              <w:rPr>
                <w:rFonts w:ascii="Times New Roman" w:hAnsi="Times New Roman"/>
                <w:b/>
                <w:sz w:val="22"/>
                <w:szCs w:val="22"/>
              </w:rPr>
              <w:t xml:space="preserve"> (e.g., MT-SDT-r18) is defined to indicate UE’s support of Rel-18 MT-RA-SDT-r18.  MT-RA-SDT-r18 indicates whether the UE supports initiation of MT-SDT procedure and transmission/reception in RRC_INACTIVE state via Random Access procedure (i.e., RACH).  </w:t>
            </w:r>
          </w:p>
          <w:p w14:paraId="380F4F83" w14:textId="77777777" w:rsidR="00AE3AAF" w:rsidRPr="00AE3AAF" w:rsidRDefault="00AE3AAF" w:rsidP="00AE3AAF">
            <w:pPr>
              <w:pStyle w:val="a8"/>
              <w:spacing w:line="288" w:lineRule="auto"/>
              <w:rPr>
                <w:rFonts w:ascii="Times New Roman" w:hAnsi="Times New Roman"/>
                <w:b/>
                <w:sz w:val="22"/>
                <w:szCs w:val="22"/>
              </w:rPr>
            </w:pPr>
            <w:r w:rsidRPr="00AE3AAF">
              <w:rPr>
                <w:rFonts w:ascii="Times New Roman" w:hAnsi="Times New Roman"/>
                <w:b/>
                <w:sz w:val="22"/>
                <w:szCs w:val="22"/>
              </w:rPr>
              <w:t>8.</w:t>
            </w:r>
            <w:r w:rsidRPr="00AE3AAF">
              <w:rPr>
                <w:rFonts w:ascii="Times New Roman" w:hAnsi="Times New Roman"/>
                <w:b/>
                <w:sz w:val="22"/>
                <w:szCs w:val="22"/>
              </w:rPr>
              <w:tab/>
              <w:t>Separate UE capability is used to indicate support MT-CG-SDT.  If the UE support MT-CG-SDT, it has to support MT-RA-SDT.</w:t>
            </w:r>
          </w:p>
          <w:p w14:paraId="3E6A2690" w14:textId="77777777" w:rsidR="00AE3AAF" w:rsidRPr="00AE3AAF" w:rsidRDefault="00AE3AAF" w:rsidP="00AE3AAF">
            <w:pPr>
              <w:pStyle w:val="a8"/>
              <w:spacing w:line="288" w:lineRule="auto"/>
              <w:rPr>
                <w:rFonts w:ascii="Times New Roman" w:hAnsi="Times New Roman"/>
                <w:b/>
                <w:sz w:val="22"/>
                <w:szCs w:val="22"/>
              </w:rPr>
            </w:pPr>
            <w:r w:rsidRPr="00AE3AAF">
              <w:rPr>
                <w:rFonts w:ascii="Times New Roman" w:hAnsi="Times New Roman"/>
                <w:b/>
                <w:sz w:val="22"/>
                <w:szCs w:val="22"/>
              </w:rPr>
              <w:t>9.</w:t>
            </w:r>
            <w:r w:rsidRPr="00AE3AAF">
              <w:rPr>
                <w:rFonts w:ascii="Times New Roman" w:hAnsi="Times New Roman"/>
                <w:b/>
                <w:sz w:val="22"/>
                <w:szCs w:val="22"/>
              </w:rPr>
              <w:tab/>
              <w:t xml:space="preserve">SRB2 capability will be captured by adding “or MT-SDT” Rel-17 srb-sdt-r-17 capability.  (i.e. no separate capability) </w:t>
            </w:r>
          </w:p>
          <w:p w14:paraId="568E21FE" w14:textId="09563137" w:rsidR="00871CE9" w:rsidRDefault="00AE3AAF" w:rsidP="00AE3AAF">
            <w:pPr>
              <w:pStyle w:val="a8"/>
              <w:spacing w:line="288" w:lineRule="auto"/>
              <w:rPr>
                <w:rFonts w:ascii="Times New Roman" w:hAnsi="Times New Roman"/>
                <w:sz w:val="22"/>
                <w:szCs w:val="22"/>
              </w:rPr>
            </w:pPr>
            <w:r w:rsidRPr="00AE3AAF">
              <w:rPr>
                <w:rFonts w:ascii="Times New Roman" w:hAnsi="Times New Roman"/>
                <w:b/>
                <w:sz w:val="22"/>
                <w:szCs w:val="22"/>
              </w:rPr>
              <w:t>10.</w:t>
            </w:r>
            <w:r w:rsidRPr="00AE3AAF">
              <w:rPr>
                <w:rFonts w:ascii="Times New Roman" w:hAnsi="Times New Roman"/>
                <w:b/>
                <w:sz w:val="22"/>
                <w:szCs w:val="22"/>
              </w:rPr>
              <w:tab/>
              <w:t>FFS how/whether we define UE capability to indicate UE’s support to select RACH resources instead of configured grant type 1 resource when triggering resume for SDT or MT-SDT and next CG-SDT resource is too far as specified in TS 38.331.</w:t>
            </w:r>
          </w:p>
        </w:tc>
      </w:tr>
    </w:tbl>
    <w:p w14:paraId="5E3899E6" w14:textId="175F256A" w:rsidR="00830F91" w:rsidRPr="003F2679" w:rsidRDefault="0028398A" w:rsidP="003F2679">
      <w:pPr>
        <w:pStyle w:val="a8"/>
        <w:spacing w:line="288" w:lineRule="auto"/>
        <w:rPr>
          <w:rFonts w:ascii="Times New Roman" w:hAnsi="Times New Roman"/>
          <w:sz w:val="22"/>
          <w:szCs w:val="22"/>
        </w:rPr>
      </w:pPr>
      <w:r>
        <w:rPr>
          <w:rFonts w:ascii="Times New Roman" w:hAnsi="Times New Roman" w:hint="eastAsia"/>
          <w:sz w:val="22"/>
          <w:szCs w:val="22"/>
        </w:rPr>
        <w:t xml:space="preserve">During the post email discussion on Running CR of UE capability, </w:t>
      </w:r>
      <w:r w:rsidR="001951BD">
        <w:rPr>
          <w:rFonts w:ascii="Times New Roman" w:hAnsi="Times New Roman" w:hint="eastAsia"/>
          <w:sz w:val="22"/>
          <w:szCs w:val="22"/>
        </w:rPr>
        <w:t xml:space="preserve">some issues are proposed and may need more online discussion. </w:t>
      </w:r>
      <w:r w:rsidR="00871CE9">
        <w:rPr>
          <w:rFonts w:ascii="Times New Roman" w:hAnsi="Times New Roman" w:hint="eastAsia"/>
          <w:sz w:val="22"/>
          <w:szCs w:val="22"/>
        </w:rPr>
        <w:t xml:space="preserve">In this contribution, we will further analyse the </w:t>
      </w:r>
      <w:r w:rsidR="00871CE9">
        <w:rPr>
          <w:rFonts w:ascii="Times New Roman" w:hAnsi="Times New Roman"/>
          <w:sz w:val="22"/>
          <w:szCs w:val="22"/>
        </w:rPr>
        <w:t>remaining</w:t>
      </w:r>
      <w:r w:rsidR="00871CE9">
        <w:rPr>
          <w:rFonts w:ascii="Times New Roman" w:hAnsi="Times New Roman" w:hint="eastAsia"/>
          <w:sz w:val="22"/>
          <w:szCs w:val="22"/>
        </w:rPr>
        <w:t xml:space="preserve"> issues on </w:t>
      </w:r>
      <w:r w:rsidR="001951BD">
        <w:rPr>
          <w:rFonts w:ascii="Times New Roman" w:hAnsi="Times New Roman" w:hint="eastAsia"/>
          <w:sz w:val="22"/>
          <w:szCs w:val="22"/>
        </w:rPr>
        <w:t xml:space="preserve">UE capabilities </w:t>
      </w:r>
      <w:r w:rsidR="00871CE9">
        <w:rPr>
          <w:rFonts w:ascii="Times New Roman" w:hAnsi="Times New Roman" w:hint="eastAsia"/>
          <w:sz w:val="22"/>
          <w:szCs w:val="22"/>
        </w:rPr>
        <w:t>and provide our views.</w:t>
      </w:r>
      <w:r w:rsidR="00830F91" w:rsidRPr="003F2679">
        <w:rPr>
          <w:rFonts w:ascii="Times New Roman" w:hAnsi="Times New Roman"/>
          <w:sz w:val="22"/>
          <w:szCs w:val="22"/>
        </w:rPr>
        <w:t xml:space="preserve"> </w:t>
      </w:r>
    </w:p>
    <w:p w14:paraId="59A20951" w14:textId="62089AD4" w:rsidR="005E3FE1" w:rsidRPr="00CB0891" w:rsidRDefault="00230D18" w:rsidP="00F953C7">
      <w:pPr>
        <w:pStyle w:val="1"/>
        <w:rPr>
          <w:lang w:eastAsia="zh-CN"/>
        </w:rPr>
      </w:pPr>
      <w:bookmarkStart w:id="1" w:name="_Ref178064866"/>
      <w:r w:rsidRPr="00CB0891">
        <w:t>2</w:t>
      </w:r>
      <w:r w:rsidRPr="00CB0891">
        <w:tab/>
      </w:r>
      <w:r w:rsidR="004000E8" w:rsidRPr="00CB0891">
        <w:t>Discussion</w:t>
      </w:r>
      <w:bookmarkEnd w:id="1"/>
      <w:r w:rsidR="006672D3">
        <w:rPr>
          <w:rFonts w:hint="eastAsia"/>
          <w:lang w:eastAsia="zh-CN"/>
        </w:rPr>
        <w:t xml:space="preserve"> </w:t>
      </w:r>
    </w:p>
    <w:p w14:paraId="19BD4567" w14:textId="1C8F23C5" w:rsidR="00871CE9" w:rsidRPr="001D73EA" w:rsidRDefault="00F50B83" w:rsidP="001D73EA">
      <w:pPr>
        <w:pStyle w:val="21"/>
        <w:rPr>
          <w:lang w:eastAsia="zh-CN"/>
        </w:rPr>
      </w:pPr>
      <w:r w:rsidRPr="001D73EA">
        <w:rPr>
          <w:rFonts w:hint="eastAsia"/>
        </w:rPr>
        <w:t xml:space="preserve">2.1 </w:t>
      </w:r>
      <w:r w:rsidR="001951BD">
        <w:rPr>
          <w:rFonts w:hint="eastAsia"/>
          <w:lang w:eastAsia="zh-CN"/>
        </w:rPr>
        <w:t>The impact on other SDT related UE capabilities</w:t>
      </w:r>
    </w:p>
    <w:p w14:paraId="3A5C0972" w14:textId="7B65DDF1" w:rsidR="001951BD" w:rsidRDefault="001951BD" w:rsidP="00A762C9">
      <w:pPr>
        <w:pStyle w:val="a8"/>
        <w:spacing w:beforeLines="50" w:before="120" w:line="288" w:lineRule="auto"/>
        <w:rPr>
          <w:rFonts w:ascii="Times New Roman" w:hAnsi="Times New Roman"/>
          <w:sz w:val="22"/>
          <w:szCs w:val="22"/>
        </w:rPr>
      </w:pPr>
      <w:r>
        <w:rPr>
          <w:rFonts w:ascii="Times New Roman" w:hAnsi="Times New Roman" w:hint="eastAsia"/>
          <w:sz w:val="22"/>
          <w:szCs w:val="22"/>
        </w:rPr>
        <w:t xml:space="preserve">In Rel-17, the MO-SDT was introduced and </w:t>
      </w:r>
      <w:r w:rsidR="006643B4">
        <w:rPr>
          <w:rFonts w:ascii="Times New Roman" w:hAnsi="Times New Roman" w:hint="eastAsia"/>
          <w:sz w:val="22"/>
          <w:szCs w:val="22"/>
        </w:rPr>
        <w:t>there are three UE capabilities, i.e. ra-SDT-r17, srb-SDT-r17 and cg-SDT-r17 were introduced for MO-SDT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tblGrid>
      <w:tr w:rsidR="00D91792" w:rsidRPr="00BE555F" w14:paraId="3B3E0B81" w14:textId="77777777" w:rsidTr="00D91792">
        <w:trPr>
          <w:cantSplit/>
        </w:trPr>
        <w:tc>
          <w:tcPr>
            <w:tcW w:w="6945" w:type="dxa"/>
            <w:tcBorders>
              <w:top w:val="single" w:sz="4" w:space="0" w:color="808080"/>
              <w:left w:val="single" w:sz="4" w:space="0" w:color="808080"/>
              <w:bottom w:val="single" w:sz="4" w:space="0" w:color="808080"/>
              <w:right w:val="single" w:sz="4" w:space="0" w:color="808080"/>
            </w:tcBorders>
          </w:tcPr>
          <w:p w14:paraId="4F903657" w14:textId="77777777" w:rsidR="00D91792" w:rsidRPr="00D91792" w:rsidRDefault="00D91792" w:rsidP="00D91792">
            <w:pPr>
              <w:pStyle w:val="TAL"/>
              <w:rPr>
                <w:b/>
                <w:i/>
              </w:rPr>
            </w:pPr>
            <w:r w:rsidRPr="00D91792">
              <w:rPr>
                <w:b/>
                <w:i/>
              </w:rPr>
              <w:lastRenderedPageBreak/>
              <w:t>Definitions for parameters</w:t>
            </w:r>
          </w:p>
        </w:tc>
        <w:tc>
          <w:tcPr>
            <w:tcW w:w="710" w:type="dxa"/>
            <w:tcBorders>
              <w:top w:val="single" w:sz="4" w:space="0" w:color="808080"/>
              <w:left w:val="single" w:sz="4" w:space="0" w:color="808080"/>
              <w:bottom w:val="single" w:sz="4" w:space="0" w:color="808080"/>
              <w:right w:val="single" w:sz="4" w:space="0" w:color="808080"/>
            </w:tcBorders>
          </w:tcPr>
          <w:p w14:paraId="6A819719" w14:textId="77777777" w:rsidR="00D91792" w:rsidRPr="00D91792" w:rsidRDefault="00D91792" w:rsidP="00D91792">
            <w:pPr>
              <w:pStyle w:val="TAL"/>
            </w:pPr>
            <w:r w:rsidRPr="00D91792">
              <w:t>Per</w:t>
            </w:r>
          </w:p>
        </w:tc>
        <w:tc>
          <w:tcPr>
            <w:tcW w:w="567" w:type="dxa"/>
            <w:tcBorders>
              <w:top w:val="single" w:sz="4" w:space="0" w:color="808080"/>
              <w:left w:val="single" w:sz="4" w:space="0" w:color="808080"/>
              <w:bottom w:val="single" w:sz="4" w:space="0" w:color="808080"/>
              <w:right w:val="single" w:sz="4" w:space="0" w:color="808080"/>
            </w:tcBorders>
          </w:tcPr>
          <w:p w14:paraId="088E7EB7" w14:textId="77777777" w:rsidR="00D91792" w:rsidRPr="00D91792" w:rsidRDefault="00D91792" w:rsidP="00D91792">
            <w:pPr>
              <w:pStyle w:val="TAL"/>
            </w:pPr>
            <w:r w:rsidRPr="00D91792">
              <w:t>M</w:t>
            </w:r>
          </w:p>
        </w:tc>
        <w:tc>
          <w:tcPr>
            <w:tcW w:w="709" w:type="dxa"/>
            <w:tcBorders>
              <w:top w:val="single" w:sz="4" w:space="0" w:color="808080"/>
              <w:left w:val="single" w:sz="4" w:space="0" w:color="808080"/>
              <w:bottom w:val="single" w:sz="4" w:space="0" w:color="808080"/>
              <w:right w:val="single" w:sz="4" w:space="0" w:color="808080"/>
            </w:tcBorders>
          </w:tcPr>
          <w:p w14:paraId="5D9FE3C8" w14:textId="77777777" w:rsidR="00D91792" w:rsidRPr="00D91792" w:rsidRDefault="00D91792" w:rsidP="00D91792">
            <w:pPr>
              <w:pStyle w:val="TAL"/>
            </w:pPr>
            <w:r w:rsidRPr="00D91792">
              <w:t>FDD-TDD DIFF</w:t>
            </w:r>
          </w:p>
        </w:tc>
        <w:tc>
          <w:tcPr>
            <w:tcW w:w="708" w:type="dxa"/>
            <w:tcBorders>
              <w:top w:val="single" w:sz="4" w:space="0" w:color="808080"/>
              <w:left w:val="single" w:sz="4" w:space="0" w:color="808080"/>
              <w:bottom w:val="single" w:sz="4" w:space="0" w:color="808080"/>
              <w:right w:val="single" w:sz="4" w:space="0" w:color="808080"/>
            </w:tcBorders>
          </w:tcPr>
          <w:p w14:paraId="59F25D6D" w14:textId="77777777" w:rsidR="00D91792" w:rsidRPr="00D91792" w:rsidRDefault="00D91792" w:rsidP="00D91792">
            <w:pPr>
              <w:pStyle w:val="TAL"/>
            </w:pPr>
            <w:r w:rsidRPr="00D91792">
              <w:t>FR1-FR2</w:t>
            </w:r>
          </w:p>
          <w:p w14:paraId="41F6FC68" w14:textId="77777777" w:rsidR="00D91792" w:rsidRPr="00D91792" w:rsidRDefault="00D91792" w:rsidP="00D91792">
            <w:pPr>
              <w:pStyle w:val="TAL"/>
            </w:pPr>
            <w:r w:rsidRPr="00BE555F">
              <w:t>DIFF</w:t>
            </w:r>
          </w:p>
        </w:tc>
      </w:tr>
      <w:tr w:rsidR="006643B4" w:rsidRPr="00BE555F" w14:paraId="6F0D478E" w14:textId="77777777" w:rsidTr="00B84B6E">
        <w:trPr>
          <w:cantSplit/>
        </w:trPr>
        <w:tc>
          <w:tcPr>
            <w:tcW w:w="6945" w:type="dxa"/>
          </w:tcPr>
          <w:p w14:paraId="73443E51" w14:textId="77777777" w:rsidR="006643B4" w:rsidRPr="00BE555F" w:rsidRDefault="006643B4" w:rsidP="00B84B6E">
            <w:pPr>
              <w:pStyle w:val="TAL"/>
              <w:rPr>
                <w:b/>
                <w:i/>
              </w:rPr>
            </w:pPr>
            <w:r w:rsidRPr="00BE555F">
              <w:rPr>
                <w:b/>
                <w:i/>
              </w:rPr>
              <w:t>ra-SDT-r17</w:t>
            </w:r>
          </w:p>
          <w:p w14:paraId="1C1793E7" w14:textId="77777777" w:rsidR="006643B4" w:rsidRPr="00BE555F" w:rsidRDefault="006643B4" w:rsidP="00B84B6E">
            <w:pPr>
              <w:pStyle w:val="TAL"/>
              <w:rPr>
                <w:b/>
                <w:bCs/>
                <w:i/>
                <w:iCs/>
              </w:rPr>
            </w:pPr>
            <w:r w:rsidRPr="00BE555F">
              <w:rPr>
                <w:bCs/>
                <w:iCs/>
              </w:rPr>
              <w:t xml:space="preserve">Indicates whether the UE supports transmission of data and/or signalling over allowed radio bearers in RRC_INACTIVE state via Random Access procedure (i.e., RA-SDT) with 4-step RA type and if UE supports </w:t>
            </w:r>
            <w:r w:rsidRPr="00BE555F">
              <w:rPr>
                <w:bCs/>
                <w:i/>
              </w:rPr>
              <w:t xml:space="preserve">twoStepRACH-r16, </w:t>
            </w:r>
            <w:r w:rsidRPr="00BE555F">
              <w:rPr>
                <w:bCs/>
                <w:iCs/>
              </w:rPr>
              <w:t>with 2-step RA type, as specified in TS 38.331 [9].</w:t>
            </w:r>
          </w:p>
        </w:tc>
        <w:tc>
          <w:tcPr>
            <w:tcW w:w="710" w:type="dxa"/>
          </w:tcPr>
          <w:p w14:paraId="4F91BCBD" w14:textId="77777777" w:rsidR="006643B4" w:rsidRPr="00BE555F" w:rsidRDefault="006643B4" w:rsidP="00B84B6E">
            <w:pPr>
              <w:pStyle w:val="TAL"/>
              <w:jc w:val="center"/>
              <w:rPr>
                <w:rFonts w:cs="Arial"/>
                <w:szCs w:val="18"/>
              </w:rPr>
            </w:pPr>
            <w:r w:rsidRPr="00BE555F">
              <w:t>UE</w:t>
            </w:r>
          </w:p>
        </w:tc>
        <w:tc>
          <w:tcPr>
            <w:tcW w:w="567" w:type="dxa"/>
          </w:tcPr>
          <w:p w14:paraId="250284DD" w14:textId="77777777" w:rsidR="006643B4" w:rsidRPr="00BE555F" w:rsidRDefault="006643B4" w:rsidP="00B84B6E">
            <w:pPr>
              <w:pStyle w:val="TAL"/>
              <w:jc w:val="center"/>
              <w:rPr>
                <w:rFonts w:cs="Arial"/>
                <w:szCs w:val="18"/>
              </w:rPr>
            </w:pPr>
            <w:r w:rsidRPr="00BE555F">
              <w:t>No</w:t>
            </w:r>
          </w:p>
        </w:tc>
        <w:tc>
          <w:tcPr>
            <w:tcW w:w="709" w:type="dxa"/>
          </w:tcPr>
          <w:p w14:paraId="6CAFE2D5" w14:textId="77777777" w:rsidR="006643B4" w:rsidRPr="00BE555F" w:rsidRDefault="006643B4" w:rsidP="00B84B6E">
            <w:pPr>
              <w:pStyle w:val="TAL"/>
              <w:jc w:val="center"/>
              <w:rPr>
                <w:rFonts w:cs="Arial"/>
                <w:szCs w:val="18"/>
              </w:rPr>
            </w:pPr>
            <w:r w:rsidRPr="00BE555F">
              <w:t>No</w:t>
            </w:r>
          </w:p>
        </w:tc>
        <w:tc>
          <w:tcPr>
            <w:tcW w:w="708" w:type="dxa"/>
          </w:tcPr>
          <w:p w14:paraId="329DE956" w14:textId="77777777" w:rsidR="006643B4" w:rsidRPr="00BE555F" w:rsidRDefault="006643B4" w:rsidP="00B84B6E">
            <w:pPr>
              <w:pStyle w:val="TAL"/>
              <w:jc w:val="center"/>
            </w:pPr>
            <w:r w:rsidRPr="00BE555F">
              <w:t>No</w:t>
            </w:r>
          </w:p>
        </w:tc>
      </w:tr>
      <w:tr w:rsidR="00B84B6E" w:rsidRPr="00BE555F" w14:paraId="11C2C09B" w14:textId="77777777" w:rsidTr="00B84B6E">
        <w:trPr>
          <w:cantSplit/>
        </w:trPr>
        <w:tc>
          <w:tcPr>
            <w:tcW w:w="6945" w:type="dxa"/>
          </w:tcPr>
          <w:p w14:paraId="56D585EE" w14:textId="77777777" w:rsidR="00B84B6E" w:rsidRPr="00BE555F" w:rsidRDefault="00B84B6E" w:rsidP="00B84B6E">
            <w:pPr>
              <w:pStyle w:val="TAL"/>
              <w:rPr>
                <w:b/>
                <w:i/>
              </w:rPr>
            </w:pPr>
            <w:r w:rsidRPr="00BE555F">
              <w:rPr>
                <w:b/>
                <w:i/>
              </w:rPr>
              <w:t>srb-SDT-r17</w:t>
            </w:r>
          </w:p>
          <w:p w14:paraId="587FD779" w14:textId="77777777" w:rsidR="00B84B6E" w:rsidRPr="00BE555F" w:rsidRDefault="00B84B6E" w:rsidP="00B84B6E">
            <w:pPr>
              <w:pStyle w:val="TAL"/>
              <w:rPr>
                <w:bCs/>
                <w:iCs/>
                <w:szCs w:val="18"/>
              </w:rPr>
            </w:pPr>
            <w:r w:rsidRPr="00BE555F">
              <w:rPr>
                <w:bCs/>
                <w:iCs/>
              </w:rPr>
              <w:t>Indicates whether the UE supports the usage of signalling radio bearer SRB2 over RA-SDT or CG-SDT</w:t>
            </w:r>
            <w:r w:rsidRPr="00BE555F">
              <w:rPr>
                <w:bCs/>
                <w:iCs/>
                <w:szCs w:val="18"/>
              </w:rPr>
              <w:t>, as specified in TS 38.331 [9].</w:t>
            </w:r>
          </w:p>
          <w:p w14:paraId="3B7A18E5" w14:textId="77777777" w:rsidR="00B84B6E" w:rsidRPr="00BE555F" w:rsidRDefault="00B84B6E" w:rsidP="00B84B6E">
            <w:pPr>
              <w:pStyle w:val="TAL"/>
              <w:rPr>
                <w:bCs/>
                <w:iCs/>
                <w:szCs w:val="18"/>
              </w:rPr>
            </w:pPr>
          </w:p>
          <w:p w14:paraId="71D51928" w14:textId="5619DE29" w:rsidR="00B84B6E" w:rsidRPr="00BE555F" w:rsidRDefault="00B84B6E" w:rsidP="00B84B6E">
            <w:pPr>
              <w:pStyle w:val="TAL"/>
              <w:rPr>
                <w:b/>
                <w:i/>
              </w:rPr>
            </w:pPr>
            <w:r w:rsidRPr="00BE555F">
              <w:t xml:space="preserve">A UE supporting this feature shall also indicate support of </w:t>
            </w:r>
            <w:r w:rsidRPr="00BE555F">
              <w:rPr>
                <w:i/>
                <w:iCs/>
              </w:rPr>
              <w:t>ra-SDT-r17 or cg-SDT-r17</w:t>
            </w:r>
            <w:r w:rsidRPr="00BE555F">
              <w:t>.</w:t>
            </w:r>
          </w:p>
        </w:tc>
        <w:tc>
          <w:tcPr>
            <w:tcW w:w="710" w:type="dxa"/>
          </w:tcPr>
          <w:p w14:paraId="17330DE4" w14:textId="396CA3FC" w:rsidR="00B84B6E" w:rsidRPr="00BE555F" w:rsidRDefault="00B84B6E" w:rsidP="00B84B6E">
            <w:pPr>
              <w:pStyle w:val="TAL"/>
              <w:jc w:val="center"/>
            </w:pPr>
            <w:r w:rsidRPr="00BE555F">
              <w:rPr>
                <w:rFonts w:cs="Arial"/>
                <w:bCs/>
                <w:iCs/>
                <w:szCs w:val="18"/>
              </w:rPr>
              <w:t>UE</w:t>
            </w:r>
          </w:p>
        </w:tc>
        <w:tc>
          <w:tcPr>
            <w:tcW w:w="567" w:type="dxa"/>
          </w:tcPr>
          <w:p w14:paraId="1CA8AF22" w14:textId="17DBD344" w:rsidR="00B84B6E" w:rsidRPr="00BE555F" w:rsidRDefault="00B84B6E" w:rsidP="00B84B6E">
            <w:pPr>
              <w:pStyle w:val="TAL"/>
              <w:jc w:val="center"/>
            </w:pPr>
            <w:r w:rsidRPr="00BE555F">
              <w:rPr>
                <w:rFonts w:cs="Arial"/>
                <w:bCs/>
                <w:iCs/>
                <w:szCs w:val="18"/>
              </w:rPr>
              <w:t>No</w:t>
            </w:r>
          </w:p>
        </w:tc>
        <w:tc>
          <w:tcPr>
            <w:tcW w:w="709" w:type="dxa"/>
          </w:tcPr>
          <w:p w14:paraId="0E5373E3" w14:textId="67448D93" w:rsidR="00B84B6E" w:rsidRPr="00BE555F" w:rsidRDefault="00B84B6E" w:rsidP="00B84B6E">
            <w:pPr>
              <w:pStyle w:val="TAL"/>
              <w:jc w:val="center"/>
            </w:pPr>
            <w:r w:rsidRPr="00BE555F">
              <w:rPr>
                <w:rFonts w:cs="Arial"/>
                <w:bCs/>
                <w:iCs/>
                <w:szCs w:val="18"/>
              </w:rPr>
              <w:t>No</w:t>
            </w:r>
          </w:p>
        </w:tc>
        <w:tc>
          <w:tcPr>
            <w:tcW w:w="708" w:type="dxa"/>
          </w:tcPr>
          <w:p w14:paraId="32917859" w14:textId="4BF8313E" w:rsidR="00B84B6E" w:rsidRPr="00BE555F" w:rsidRDefault="00B84B6E" w:rsidP="00B84B6E">
            <w:pPr>
              <w:pStyle w:val="TAL"/>
              <w:jc w:val="center"/>
            </w:pPr>
            <w:r w:rsidRPr="00BE555F">
              <w:t>No</w:t>
            </w:r>
          </w:p>
        </w:tc>
      </w:tr>
      <w:tr w:rsidR="00B84B6E" w:rsidRPr="00BE555F" w14:paraId="33769CB7" w14:textId="77777777" w:rsidTr="00B84B6E">
        <w:trPr>
          <w:cantSplit/>
        </w:trPr>
        <w:tc>
          <w:tcPr>
            <w:tcW w:w="6945" w:type="dxa"/>
          </w:tcPr>
          <w:p w14:paraId="3312F57D" w14:textId="77777777" w:rsidR="00B84B6E" w:rsidRPr="00BE555F" w:rsidRDefault="00B84B6E" w:rsidP="00B84B6E">
            <w:pPr>
              <w:pStyle w:val="TAL"/>
              <w:rPr>
                <w:b/>
                <w:i/>
              </w:rPr>
            </w:pPr>
            <w:r w:rsidRPr="00BE555F">
              <w:rPr>
                <w:b/>
                <w:i/>
              </w:rPr>
              <w:t>cg-SDT-r17</w:t>
            </w:r>
          </w:p>
          <w:p w14:paraId="79608BE8" w14:textId="77777777" w:rsidR="00B84B6E" w:rsidRPr="00BE555F" w:rsidRDefault="00B84B6E" w:rsidP="00B84B6E">
            <w:pPr>
              <w:pStyle w:val="TAL"/>
              <w:rPr>
                <w:bCs/>
                <w:iCs/>
              </w:rPr>
            </w:pPr>
            <w:r w:rsidRPr="00BE555F">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507867B8" w14:textId="07E438C6" w:rsidR="00B84B6E" w:rsidRPr="00BE555F" w:rsidRDefault="00B84B6E" w:rsidP="00B84B6E">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10" w:type="dxa"/>
          </w:tcPr>
          <w:p w14:paraId="362FD5E3" w14:textId="5962B036" w:rsidR="00B84B6E" w:rsidRPr="00BE555F" w:rsidRDefault="00B84B6E" w:rsidP="00B84B6E">
            <w:pPr>
              <w:pStyle w:val="TAL"/>
              <w:jc w:val="center"/>
              <w:rPr>
                <w:rFonts w:cs="Arial"/>
                <w:bCs/>
                <w:iCs/>
                <w:szCs w:val="18"/>
              </w:rPr>
            </w:pPr>
            <w:r w:rsidRPr="00BE555F">
              <w:t>Band</w:t>
            </w:r>
          </w:p>
        </w:tc>
        <w:tc>
          <w:tcPr>
            <w:tcW w:w="567" w:type="dxa"/>
          </w:tcPr>
          <w:p w14:paraId="642D2959" w14:textId="3A0EEEDE" w:rsidR="00B84B6E" w:rsidRPr="00BE555F" w:rsidRDefault="00B84B6E" w:rsidP="00B84B6E">
            <w:pPr>
              <w:pStyle w:val="TAL"/>
              <w:jc w:val="center"/>
              <w:rPr>
                <w:rFonts w:cs="Arial"/>
                <w:bCs/>
                <w:iCs/>
                <w:szCs w:val="18"/>
              </w:rPr>
            </w:pPr>
            <w:r w:rsidRPr="00BE555F">
              <w:t>No</w:t>
            </w:r>
          </w:p>
        </w:tc>
        <w:tc>
          <w:tcPr>
            <w:tcW w:w="709" w:type="dxa"/>
          </w:tcPr>
          <w:p w14:paraId="33982AE7" w14:textId="69EEA006" w:rsidR="00B84B6E" w:rsidRPr="00BE555F" w:rsidRDefault="00B84B6E" w:rsidP="00B84B6E">
            <w:pPr>
              <w:pStyle w:val="TAL"/>
              <w:jc w:val="center"/>
              <w:rPr>
                <w:rFonts w:cs="Arial"/>
                <w:bCs/>
                <w:iCs/>
                <w:szCs w:val="18"/>
              </w:rPr>
            </w:pPr>
            <w:r w:rsidRPr="00BE555F">
              <w:t>N/A</w:t>
            </w:r>
          </w:p>
        </w:tc>
        <w:tc>
          <w:tcPr>
            <w:tcW w:w="708" w:type="dxa"/>
          </w:tcPr>
          <w:p w14:paraId="6FB2A526" w14:textId="027DFD2B" w:rsidR="00B84B6E" w:rsidRPr="00BE555F" w:rsidRDefault="00B84B6E" w:rsidP="00B84B6E">
            <w:pPr>
              <w:pStyle w:val="TAL"/>
              <w:jc w:val="center"/>
            </w:pPr>
            <w:r w:rsidRPr="00BE555F">
              <w:t>N/A</w:t>
            </w:r>
          </w:p>
        </w:tc>
      </w:tr>
    </w:tbl>
    <w:p w14:paraId="0E005D77" w14:textId="3C3FF6FA" w:rsidR="006643B4" w:rsidRDefault="00D91792" w:rsidP="00A762C9">
      <w:pPr>
        <w:pStyle w:val="a8"/>
        <w:spacing w:beforeLines="50" w:before="120" w:line="288" w:lineRule="auto"/>
        <w:rPr>
          <w:rFonts w:ascii="Times New Roman" w:hAnsi="Times New Roman"/>
          <w:sz w:val="22"/>
          <w:szCs w:val="22"/>
        </w:rPr>
      </w:pPr>
      <w:r>
        <w:rPr>
          <w:rFonts w:ascii="Times New Roman" w:hAnsi="Times New Roman" w:hint="eastAsia"/>
          <w:sz w:val="22"/>
          <w:szCs w:val="22"/>
        </w:rPr>
        <w:t xml:space="preserve">Considering SDT including MO-SDT and MT-SDT after Rel-18, we should limit the UE capabilities introduced in Rel-17 SDT to MO-SDT. During the discussion on the Running CR of UE capabilities, we found that some SDT related UE capabilities were introduced in Rel-17. For example, in NTN, Redcap and CE features, MO-SDT can also be applied in these features. So there are multiple SDT related UE </w:t>
      </w:r>
      <w:r>
        <w:rPr>
          <w:rFonts w:ascii="Times New Roman" w:hAnsi="Times New Roman"/>
          <w:sz w:val="22"/>
          <w:szCs w:val="22"/>
        </w:rPr>
        <w:t>capabilities</w:t>
      </w:r>
      <w:r>
        <w:rPr>
          <w:rFonts w:ascii="Times New Roman" w:hAnsi="Times New Roman" w:hint="eastAsia"/>
          <w:sz w:val="22"/>
          <w:szCs w:val="22"/>
        </w:rPr>
        <w:t xml:space="preserve"> were introduced.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7"/>
        <w:gridCol w:w="7"/>
      </w:tblGrid>
      <w:tr w:rsidR="00D91792" w:rsidRPr="00BE555F" w14:paraId="0DAC2651" w14:textId="77777777" w:rsidTr="00D9179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81BB4F1" w14:textId="77777777" w:rsidR="00D91792" w:rsidRPr="00D91792" w:rsidRDefault="00D91792" w:rsidP="00D91792">
            <w:pPr>
              <w:rPr>
                <w:rFonts w:ascii="Arial" w:eastAsia="Times New Roman" w:hAnsi="Arial"/>
                <w:b/>
                <w:i/>
                <w:sz w:val="18"/>
                <w:szCs w:val="20"/>
                <w:lang w:val="en-GB" w:eastAsia="ja-JP"/>
              </w:rPr>
            </w:pPr>
            <w:r w:rsidRPr="00D91792">
              <w:rPr>
                <w:rFonts w:ascii="Arial" w:eastAsia="Times New Roman" w:hAnsi="Arial"/>
                <w:b/>
                <w:i/>
                <w:sz w:val="18"/>
                <w:szCs w:val="20"/>
                <w:lang w:val="en-GB" w:eastAsia="ja-JP"/>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59F96DC0" w14:textId="77777777" w:rsidR="00D91792" w:rsidRPr="00D91792" w:rsidRDefault="00D91792" w:rsidP="00D91792">
            <w:pPr>
              <w:rPr>
                <w:rFonts w:ascii="Arial" w:eastAsia="Times New Roman" w:hAnsi="Arial"/>
                <w:sz w:val="18"/>
                <w:szCs w:val="20"/>
                <w:lang w:val="en-GB" w:eastAsia="ja-JP"/>
              </w:rPr>
            </w:pPr>
            <w:r w:rsidRPr="00D91792">
              <w:rPr>
                <w:rFonts w:ascii="Arial" w:eastAsia="Times New Roman" w:hAnsi="Arial"/>
                <w:sz w:val="18"/>
                <w:szCs w:val="20"/>
                <w:lang w:val="en-GB"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50F43464" w14:textId="77777777" w:rsidR="00D91792" w:rsidRPr="00D91792" w:rsidRDefault="00D91792" w:rsidP="00D91792">
            <w:pPr>
              <w:rPr>
                <w:rFonts w:ascii="Arial" w:eastAsia="Times New Roman" w:hAnsi="Arial"/>
                <w:sz w:val="18"/>
                <w:szCs w:val="20"/>
                <w:lang w:val="en-GB" w:eastAsia="ja-JP"/>
              </w:rPr>
            </w:pPr>
            <w:r w:rsidRPr="00D91792">
              <w:rPr>
                <w:rFonts w:ascii="Arial" w:eastAsia="Times New Roman" w:hAnsi="Arial"/>
                <w:sz w:val="18"/>
                <w:szCs w:val="20"/>
                <w:lang w:val="en-GB"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38AD1C5" w14:textId="77777777" w:rsidR="00D91792" w:rsidRPr="00D91792" w:rsidRDefault="00D91792" w:rsidP="00D91792">
            <w:pPr>
              <w:rPr>
                <w:rFonts w:ascii="Arial" w:eastAsia="Times New Roman" w:hAnsi="Arial"/>
                <w:sz w:val="18"/>
                <w:szCs w:val="20"/>
                <w:lang w:val="en-GB" w:eastAsia="ja-JP"/>
              </w:rPr>
            </w:pPr>
            <w:r w:rsidRPr="00D91792">
              <w:rPr>
                <w:rFonts w:ascii="Arial" w:eastAsia="Times New Roman" w:hAnsi="Arial"/>
                <w:sz w:val="18"/>
                <w:szCs w:val="20"/>
                <w:lang w:val="en-GB" w:eastAsia="ja-JP"/>
              </w:rPr>
              <w:t>FDD-TDD DIFF</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F9E4C8E" w14:textId="77777777" w:rsidR="00D91792" w:rsidRPr="00D91792" w:rsidRDefault="00D91792" w:rsidP="00D91792">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D91792">
              <w:rPr>
                <w:rFonts w:ascii="Arial" w:eastAsia="Times New Roman" w:hAnsi="Arial"/>
                <w:sz w:val="18"/>
                <w:szCs w:val="20"/>
                <w:lang w:val="en-GB" w:eastAsia="ja-JP"/>
              </w:rPr>
              <w:t>FR1-FR2</w:t>
            </w:r>
          </w:p>
          <w:p w14:paraId="36EBC332" w14:textId="77777777" w:rsidR="00D91792" w:rsidRPr="00D91792" w:rsidRDefault="00D91792" w:rsidP="00D91792">
            <w:pPr>
              <w:rPr>
                <w:rFonts w:ascii="Arial" w:eastAsia="Times New Roman" w:hAnsi="Arial"/>
                <w:sz w:val="18"/>
                <w:szCs w:val="20"/>
                <w:lang w:val="en-GB" w:eastAsia="ja-JP"/>
              </w:rPr>
            </w:pPr>
            <w:r w:rsidRPr="00D91792">
              <w:rPr>
                <w:rFonts w:ascii="Arial" w:eastAsia="Times New Roman" w:hAnsi="Arial"/>
                <w:sz w:val="18"/>
                <w:szCs w:val="20"/>
                <w:lang w:val="en-GB" w:eastAsia="ja-JP"/>
              </w:rPr>
              <w:t>DIFF</w:t>
            </w:r>
          </w:p>
        </w:tc>
      </w:tr>
      <w:tr w:rsidR="00D91792" w:rsidRPr="00D91792" w14:paraId="33A2F714" w14:textId="77777777" w:rsidTr="00D9179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1E050D5" w14:textId="77777777" w:rsidR="00D91792" w:rsidRPr="00D91792" w:rsidRDefault="00D91792" w:rsidP="00D91792">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D91792">
              <w:rPr>
                <w:rFonts w:ascii="Arial" w:eastAsia="Times New Roman" w:hAnsi="Arial"/>
                <w:b/>
                <w:i/>
                <w:sz w:val="18"/>
                <w:szCs w:val="20"/>
                <w:lang w:val="en-GB" w:eastAsia="ja-JP"/>
              </w:rPr>
              <w:t>ra-SDT-NTN-r17</w:t>
            </w:r>
          </w:p>
          <w:p w14:paraId="6589A436" w14:textId="77777777" w:rsidR="00D91792" w:rsidRPr="00D91792" w:rsidRDefault="00D91792" w:rsidP="00D91792">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D91792">
              <w:rPr>
                <w:rFonts w:ascii="Arial" w:eastAsia="Times New Roman" w:hAnsi="Arial"/>
                <w:bCs/>
                <w:iCs/>
                <w:sz w:val="18"/>
                <w:szCs w:val="20"/>
                <w:lang w:val="en-GB" w:eastAsia="ja-JP"/>
              </w:rPr>
              <w:t xml:space="preserve">Indicates whether the UE supports transmission of data and/or signalling over allowed radio bearers in RRC_INACTIVE state </w:t>
            </w:r>
            <w:r w:rsidRPr="00D91792">
              <w:rPr>
                <w:rFonts w:ascii="Arial" w:eastAsia="Times New Roman" w:hAnsi="Arial"/>
                <w:sz w:val="18"/>
                <w:szCs w:val="20"/>
                <w:lang w:val="en-GB" w:eastAsia="ja-JP"/>
              </w:rPr>
              <w:t xml:space="preserve">in NTN </w:t>
            </w:r>
            <w:r w:rsidRPr="00D91792">
              <w:rPr>
                <w:rFonts w:ascii="Arial" w:eastAsia="Times New Roman" w:hAnsi="Arial"/>
                <w:bCs/>
                <w:iCs/>
                <w:sz w:val="18"/>
                <w:szCs w:val="20"/>
                <w:lang w:val="en-GB" w:eastAsia="ja-JP"/>
              </w:rPr>
              <w:t xml:space="preserve">via Random Access procedure (i.e., RA-SDT) with 4-step RA type and if UE supports </w:t>
            </w:r>
            <w:r w:rsidRPr="00D91792">
              <w:rPr>
                <w:rFonts w:ascii="Arial" w:eastAsia="Times New Roman" w:hAnsi="Arial"/>
                <w:bCs/>
                <w:i/>
                <w:sz w:val="18"/>
                <w:szCs w:val="20"/>
                <w:lang w:val="en-GB" w:eastAsia="ja-JP"/>
              </w:rPr>
              <w:t xml:space="preserve">twoStepRACH-r16 </w:t>
            </w:r>
            <w:r w:rsidRPr="00D91792">
              <w:rPr>
                <w:rFonts w:ascii="Arial" w:eastAsia="Times New Roman" w:hAnsi="Arial"/>
                <w:bCs/>
                <w:iCs/>
                <w:sz w:val="18"/>
                <w:szCs w:val="20"/>
                <w:lang w:val="en-GB" w:eastAsia="ja-JP"/>
              </w:rPr>
              <w:t>for NTN</w:t>
            </w:r>
            <w:r w:rsidRPr="00D91792">
              <w:rPr>
                <w:rFonts w:ascii="Arial" w:eastAsia="Times New Roman" w:hAnsi="Arial"/>
                <w:bCs/>
                <w:i/>
                <w:sz w:val="18"/>
                <w:szCs w:val="20"/>
                <w:lang w:val="en-GB" w:eastAsia="ja-JP"/>
              </w:rPr>
              <w:t xml:space="preserve">, </w:t>
            </w:r>
            <w:r w:rsidRPr="00D91792">
              <w:rPr>
                <w:rFonts w:ascii="Arial" w:eastAsia="Times New Roman" w:hAnsi="Arial"/>
                <w:bCs/>
                <w:iCs/>
                <w:sz w:val="18"/>
                <w:szCs w:val="20"/>
                <w:lang w:val="en-GB" w:eastAsia="ja-JP"/>
              </w:rPr>
              <w:t>with 2-step RA type, as specified in TS 38.331 [9].</w:t>
            </w:r>
            <w:r w:rsidRPr="00D91792">
              <w:rPr>
                <w:rFonts w:ascii="Arial" w:eastAsia="Times New Roman" w:hAnsi="Arial"/>
                <w:sz w:val="18"/>
                <w:szCs w:val="20"/>
                <w:lang w:val="en-GB" w:eastAsia="ja-JP"/>
              </w:rPr>
              <w:t xml:space="preserve"> </w:t>
            </w:r>
            <w:r w:rsidRPr="00D91792">
              <w:rPr>
                <w:rFonts w:ascii="Arial" w:eastAsia="Times New Roman" w:hAnsi="Arial"/>
                <w:bCs/>
                <w:iCs/>
                <w:sz w:val="18"/>
                <w:szCs w:val="20"/>
                <w:lang w:val="en-GB" w:eastAsia="ja-JP"/>
              </w:rPr>
              <w:t xml:space="preserve">A UE supporting this feature shall also indicate the support of </w:t>
            </w:r>
            <w:r w:rsidRPr="00D91792">
              <w:rPr>
                <w:rFonts w:ascii="Arial" w:eastAsia="Times New Roman" w:hAnsi="Arial"/>
                <w:bCs/>
                <w:i/>
                <w:sz w:val="18"/>
                <w:szCs w:val="20"/>
                <w:lang w:val="en-GB" w:eastAsia="ja-JP"/>
              </w:rPr>
              <w:t>nonTerrestrialNetwork-r17</w:t>
            </w:r>
            <w:r w:rsidRPr="00D91792">
              <w:rPr>
                <w:rFonts w:ascii="Arial" w:eastAsia="Times New Roman" w:hAnsi="Arial"/>
                <w:bCs/>
                <w:iCs/>
                <w:sz w:val="18"/>
                <w:szCs w:val="20"/>
                <w:lang w:val="en-GB" w:eastAsia="ja-JP"/>
              </w:rPr>
              <w:t>.</w:t>
            </w:r>
          </w:p>
        </w:tc>
        <w:tc>
          <w:tcPr>
            <w:tcW w:w="710" w:type="dxa"/>
            <w:tcBorders>
              <w:top w:val="single" w:sz="4" w:space="0" w:color="808080"/>
              <w:left w:val="single" w:sz="4" w:space="0" w:color="808080"/>
              <w:bottom w:val="single" w:sz="4" w:space="0" w:color="808080"/>
              <w:right w:val="single" w:sz="4" w:space="0" w:color="808080"/>
            </w:tcBorders>
            <w:hideMark/>
          </w:tcPr>
          <w:p w14:paraId="6C6DAB98" w14:textId="77777777" w:rsidR="00D91792" w:rsidRPr="00D91792" w:rsidRDefault="00D91792" w:rsidP="00D91792">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D91792">
              <w:rPr>
                <w:rFonts w:ascii="Arial" w:eastAsia="Times New Roman" w:hAnsi="Arial"/>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65CC959" w14:textId="77777777" w:rsidR="00D91792" w:rsidRPr="00D91792" w:rsidRDefault="00D91792" w:rsidP="00D91792">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D91792">
              <w:rPr>
                <w:rFonts w:ascii="Arial" w:eastAsia="Times New Roman" w:hAnsi="Arial"/>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A54128" w14:textId="77777777" w:rsidR="00D91792" w:rsidRPr="00D91792" w:rsidRDefault="00D91792" w:rsidP="00D91792">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D91792">
              <w:rPr>
                <w:rFonts w:ascii="Arial" w:eastAsia="Times New Roman" w:hAnsi="Arial"/>
                <w:sz w:val="18"/>
                <w:szCs w:val="20"/>
                <w:lang w:val="en-GB"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EC195F8" w14:textId="77777777" w:rsidR="00D91792" w:rsidRPr="00D91792" w:rsidRDefault="00D91792" w:rsidP="00D91792">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D91792">
              <w:rPr>
                <w:rFonts w:ascii="Arial" w:eastAsia="Times New Roman" w:hAnsi="Arial"/>
                <w:sz w:val="18"/>
                <w:szCs w:val="20"/>
                <w:lang w:val="en-GB" w:eastAsia="ja-JP"/>
              </w:rPr>
              <w:t>No</w:t>
            </w:r>
          </w:p>
        </w:tc>
      </w:tr>
      <w:tr w:rsidR="00D91792" w:rsidRPr="00BE555F" w14:paraId="605214DB" w14:textId="77777777" w:rsidTr="00D91792">
        <w:trPr>
          <w:cantSplit/>
        </w:trPr>
        <w:tc>
          <w:tcPr>
            <w:tcW w:w="6945" w:type="dxa"/>
          </w:tcPr>
          <w:p w14:paraId="5A4DAAFF" w14:textId="77777777" w:rsidR="00D91792" w:rsidRPr="00BE555F" w:rsidRDefault="00D91792" w:rsidP="00932C52">
            <w:pPr>
              <w:pStyle w:val="TAL"/>
              <w:rPr>
                <w:b/>
                <w:i/>
              </w:rPr>
            </w:pPr>
            <w:r w:rsidRPr="00BE555F">
              <w:rPr>
                <w:b/>
                <w:i/>
              </w:rPr>
              <w:t>srb-SDT-NTN-r17</w:t>
            </w:r>
          </w:p>
          <w:p w14:paraId="70A5D2FF" w14:textId="77777777" w:rsidR="00D91792" w:rsidRPr="00BE555F" w:rsidRDefault="00D91792" w:rsidP="00932C52">
            <w:pPr>
              <w:pStyle w:val="TAL"/>
              <w:rPr>
                <w:bCs/>
                <w:iCs/>
                <w:szCs w:val="18"/>
              </w:rPr>
            </w:pPr>
            <w:r w:rsidRPr="00BE555F">
              <w:rPr>
                <w:bCs/>
                <w:iCs/>
              </w:rPr>
              <w:t>Indicates whether the UE supports the usage of signalling radio bearer SRB2 over RA-SDT or CG-SDT in NTN</w:t>
            </w:r>
            <w:r w:rsidRPr="00BE555F">
              <w:rPr>
                <w:bCs/>
                <w:iCs/>
                <w:szCs w:val="18"/>
              </w:rPr>
              <w:t>, as specified in TS 38.331 [9].</w:t>
            </w:r>
          </w:p>
          <w:p w14:paraId="249C8317" w14:textId="77777777" w:rsidR="00D91792" w:rsidRPr="00BE555F" w:rsidRDefault="00D91792" w:rsidP="00932C52">
            <w:pPr>
              <w:pStyle w:val="TAL"/>
              <w:rPr>
                <w:bCs/>
                <w:iCs/>
                <w:szCs w:val="18"/>
              </w:rPr>
            </w:pPr>
          </w:p>
          <w:p w14:paraId="235DC5F9" w14:textId="77777777" w:rsidR="00D91792" w:rsidRPr="00BE555F" w:rsidRDefault="00D91792" w:rsidP="00932C52">
            <w:pPr>
              <w:pStyle w:val="TAL"/>
              <w:rPr>
                <w:b/>
                <w:i/>
              </w:rPr>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r w:rsidRPr="00BE555F">
              <w:t xml:space="preserve">in NTN bands. A UE supporting this feature shall also indicate the support of </w:t>
            </w:r>
            <w:r w:rsidRPr="00BE555F">
              <w:rPr>
                <w:i/>
                <w:iCs/>
              </w:rPr>
              <w:t>nonTerrestrialNetwork-r17</w:t>
            </w:r>
            <w:r w:rsidRPr="00BE555F">
              <w:t>.</w:t>
            </w:r>
          </w:p>
        </w:tc>
        <w:tc>
          <w:tcPr>
            <w:tcW w:w="710" w:type="dxa"/>
          </w:tcPr>
          <w:p w14:paraId="5F80B945" w14:textId="77777777" w:rsidR="00D91792" w:rsidRPr="00BE555F" w:rsidRDefault="00D91792" w:rsidP="00932C52">
            <w:pPr>
              <w:pStyle w:val="TAL"/>
              <w:jc w:val="center"/>
              <w:rPr>
                <w:rFonts w:cs="Arial"/>
                <w:bCs/>
                <w:iCs/>
                <w:szCs w:val="18"/>
              </w:rPr>
            </w:pPr>
            <w:r w:rsidRPr="00BE555F">
              <w:rPr>
                <w:rFonts w:cs="Arial"/>
                <w:bCs/>
                <w:iCs/>
                <w:szCs w:val="18"/>
              </w:rPr>
              <w:t>UE</w:t>
            </w:r>
          </w:p>
        </w:tc>
        <w:tc>
          <w:tcPr>
            <w:tcW w:w="567" w:type="dxa"/>
          </w:tcPr>
          <w:p w14:paraId="685087C5" w14:textId="77777777" w:rsidR="00D91792" w:rsidRPr="00BE555F" w:rsidRDefault="00D91792" w:rsidP="00932C52">
            <w:pPr>
              <w:pStyle w:val="TAL"/>
              <w:jc w:val="center"/>
              <w:rPr>
                <w:rFonts w:cs="Arial"/>
                <w:bCs/>
                <w:iCs/>
                <w:szCs w:val="18"/>
              </w:rPr>
            </w:pPr>
            <w:r w:rsidRPr="00BE555F">
              <w:rPr>
                <w:rFonts w:cs="Arial"/>
                <w:bCs/>
                <w:iCs/>
                <w:szCs w:val="18"/>
              </w:rPr>
              <w:t>No</w:t>
            </w:r>
          </w:p>
        </w:tc>
        <w:tc>
          <w:tcPr>
            <w:tcW w:w="709" w:type="dxa"/>
          </w:tcPr>
          <w:p w14:paraId="74758C7F" w14:textId="77777777" w:rsidR="00D91792" w:rsidRPr="00BE555F" w:rsidRDefault="00D91792" w:rsidP="00932C52">
            <w:pPr>
              <w:pStyle w:val="TAL"/>
              <w:jc w:val="center"/>
              <w:rPr>
                <w:rFonts w:cs="Arial"/>
                <w:bCs/>
                <w:iCs/>
                <w:szCs w:val="18"/>
              </w:rPr>
            </w:pPr>
            <w:r w:rsidRPr="00BE555F">
              <w:rPr>
                <w:rFonts w:cs="Arial"/>
                <w:bCs/>
                <w:iCs/>
                <w:szCs w:val="18"/>
              </w:rPr>
              <w:t>No</w:t>
            </w:r>
          </w:p>
        </w:tc>
        <w:tc>
          <w:tcPr>
            <w:tcW w:w="714" w:type="dxa"/>
            <w:gridSpan w:val="2"/>
          </w:tcPr>
          <w:p w14:paraId="5C9BCE9C" w14:textId="77777777" w:rsidR="00D91792" w:rsidRPr="00BE555F" w:rsidRDefault="00D91792" w:rsidP="00932C52">
            <w:pPr>
              <w:pStyle w:val="TAL"/>
              <w:jc w:val="center"/>
            </w:pPr>
            <w:r w:rsidRPr="00BE555F">
              <w:t>No</w:t>
            </w:r>
          </w:p>
        </w:tc>
      </w:tr>
      <w:tr w:rsidR="00D91792" w:rsidRPr="00BE555F" w14:paraId="171D0411" w14:textId="77777777" w:rsidTr="00D91792">
        <w:trPr>
          <w:gridAfter w:val="1"/>
          <w:wAfter w:w="7" w:type="dxa"/>
          <w:cantSplit/>
          <w:tblHeader/>
        </w:trPr>
        <w:tc>
          <w:tcPr>
            <w:tcW w:w="6945" w:type="dxa"/>
          </w:tcPr>
          <w:p w14:paraId="01EBFF96" w14:textId="77777777" w:rsidR="00D91792" w:rsidRPr="00BE555F" w:rsidRDefault="00D91792" w:rsidP="00932C52">
            <w:pPr>
              <w:pStyle w:val="TAL"/>
              <w:rPr>
                <w:b/>
                <w:i/>
              </w:rPr>
            </w:pPr>
            <w:r w:rsidRPr="00BE555F">
              <w:rPr>
                <w:b/>
                <w:i/>
              </w:rPr>
              <w:t>pusch-Repetition-CG-SDT-r17</w:t>
            </w:r>
          </w:p>
          <w:p w14:paraId="55B8DCCE" w14:textId="77777777" w:rsidR="00D91792" w:rsidRPr="00BE555F" w:rsidRDefault="00D91792" w:rsidP="00932C52">
            <w:pPr>
              <w:pStyle w:val="TAL"/>
              <w:rPr>
                <w:b/>
                <w:i/>
              </w:rPr>
            </w:pPr>
            <w:r w:rsidRPr="00BE555F">
              <w:t xml:space="preserve">Indicates whether the UE supports PUSCH repetitions for CG-SDT, as defined in TS 38.214 [12]. A UE supporting this feature shall also indicate the support of </w:t>
            </w:r>
            <w:r w:rsidRPr="00BE555F">
              <w:rPr>
                <w:i/>
                <w:iCs/>
              </w:rPr>
              <w:t>type1-PUSCH-RepetitionMultiSlots</w:t>
            </w:r>
            <w:r w:rsidRPr="00BE555F">
              <w:t xml:space="preserve"> or </w:t>
            </w:r>
            <w:r w:rsidRPr="00BE555F">
              <w:rPr>
                <w:i/>
                <w:iCs/>
              </w:rPr>
              <w:t>pusch-RepetitionTypeB-r16</w:t>
            </w:r>
            <w:r w:rsidRPr="00BE555F">
              <w:t xml:space="preserve">. When UE indicates </w:t>
            </w:r>
            <w:r w:rsidRPr="00BE555F">
              <w:rPr>
                <w:i/>
                <w:iCs/>
              </w:rPr>
              <w:t>type1-PUSCH-RepetitionMultiSlots</w:t>
            </w:r>
            <w:r w:rsidRPr="00BE555F">
              <w:t xml:space="preserve"> and </w:t>
            </w:r>
            <w:r w:rsidRPr="00BE555F">
              <w:rPr>
                <w:i/>
                <w:iCs/>
              </w:rPr>
              <w:t>pusch-Repetition-CG-SDT-r17</w:t>
            </w:r>
            <w:r w:rsidRPr="00BE555F">
              <w:t xml:space="preserve">, the UE supports PUSCH repetition for type A. When UE indicates </w:t>
            </w:r>
            <w:r w:rsidRPr="00BE555F">
              <w:rPr>
                <w:i/>
                <w:iCs/>
              </w:rPr>
              <w:t>pusch-RepetitionTypeB-r16</w:t>
            </w:r>
            <w:r w:rsidRPr="00BE555F">
              <w:t xml:space="preserve"> and </w:t>
            </w:r>
            <w:r w:rsidRPr="00BE555F">
              <w:rPr>
                <w:i/>
                <w:iCs/>
              </w:rPr>
              <w:t>pusch-Repetition-CG-SDT-r17</w:t>
            </w:r>
            <w:r w:rsidRPr="00BE555F">
              <w:t xml:space="preserve">, UE supports PUSCH repetition for type B. A UE can include this feature only if the UE indicates the support of </w:t>
            </w:r>
            <w:r w:rsidRPr="00BE555F">
              <w:rPr>
                <w:i/>
                <w:iCs/>
              </w:rPr>
              <w:t>cg-SDT-r17</w:t>
            </w:r>
            <w:r w:rsidRPr="00BE555F">
              <w:t>.</w:t>
            </w:r>
          </w:p>
        </w:tc>
        <w:tc>
          <w:tcPr>
            <w:tcW w:w="710" w:type="dxa"/>
          </w:tcPr>
          <w:p w14:paraId="2FFBB756" w14:textId="77777777" w:rsidR="00D91792" w:rsidRPr="00BE555F" w:rsidRDefault="00D91792" w:rsidP="00932C52">
            <w:pPr>
              <w:pStyle w:val="TAL"/>
              <w:jc w:val="center"/>
            </w:pPr>
            <w:r w:rsidRPr="00BE555F">
              <w:t>UE</w:t>
            </w:r>
          </w:p>
        </w:tc>
        <w:tc>
          <w:tcPr>
            <w:tcW w:w="567" w:type="dxa"/>
          </w:tcPr>
          <w:p w14:paraId="66B52951" w14:textId="77777777" w:rsidR="00D91792" w:rsidRPr="00BE555F" w:rsidRDefault="00D91792" w:rsidP="00932C52">
            <w:pPr>
              <w:pStyle w:val="TAL"/>
              <w:jc w:val="center"/>
            </w:pPr>
            <w:r w:rsidRPr="00BE555F">
              <w:t>No</w:t>
            </w:r>
          </w:p>
        </w:tc>
        <w:tc>
          <w:tcPr>
            <w:tcW w:w="709" w:type="dxa"/>
          </w:tcPr>
          <w:p w14:paraId="4EFF08C7" w14:textId="77777777" w:rsidR="00D91792" w:rsidRPr="00BE555F" w:rsidRDefault="00D91792" w:rsidP="00932C52">
            <w:pPr>
              <w:pStyle w:val="TAL"/>
              <w:jc w:val="center"/>
            </w:pPr>
            <w:r w:rsidRPr="00BE555F">
              <w:t>No</w:t>
            </w:r>
          </w:p>
        </w:tc>
        <w:tc>
          <w:tcPr>
            <w:tcW w:w="707" w:type="dxa"/>
          </w:tcPr>
          <w:p w14:paraId="290099E7" w14:textId="77777777" w:rsidR="00D91792" w:rsidRPr="00BE555F" w:rsidRDefault="00D91792" w:rsidP="00932C52">
            <w:pPr>
              <w:pStyle w:val="TAL"/>
              <w:jc w:val="center"/>
            </w:pPr>
            <w:r w:rsidRPr="00BE555F">
              <w:t>No</w:t>
            </w:r>
          </w:p>
        </w:tc>
      </w:tr>
    </w:tbl>
    <w:p w14:paraId="441A78A9" w14:textId="5F61B870" w:rsidR="00D91792" w:rsidRDefault="00D91792" w:rsidP="00A762C9">
      <w:pPr>
        <w:pStyle w:val="a8"/>
        <w:spacing w:beforeLines="50" w:before="120" w:line="288" w:lineRule="auto"/>
        <w:rPr>
          <w:rFonts w:ascii="Times New Roman" w:hAnsi="Times New Roman"/>
          <w:sz w:val="22"/>
          <w:szCs w:val="22"/>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91792" w:rsidRPr="00BE555F" w14:paraId="2EC26F50" w14:textId="77777777" w:rsidTr="00932C52">
        <w:trPr>
          <w:cantSplit/>
        </w:trPr>
        <w:tc>
          <w:tcPr>
            <w:tcW w:w="7290" w:type="dxa"/>
          </w:tcPr>
          <w:p w14:paraId="189F0932" w14:textId="77777777" w:rsidR="00D91792" w:rsidRPr="00BE555F" w:rsidRDefault="00D91792" w:rsidP="00932C52">
            <w:pPr>
              <w:pStyle w:val="TAH"/>
              <w:rPr>
                <w:rFonts w:cs="Arial"/>
                <w:szCs w:val="18"/>
              </w:rPr>
            </w:pPr>
            <w:r w:rsidRPr="00BE555F">
              <w:rPr>
                <w:rFonts w:cs="Arial"/>
                <w:szCs w:val="18"/>
              </w:rPr>
              <w:lastRenderedPageBreak/>
              <w:t>Definitions for parameters</w:t>
            </w:r>
          </w:p>
        </w:tc>
        <w:tc>
          <w:tcPr>
            <w:tcW w:w="720" w:type="dxa"/>
          </w:tcPr>
          <w:p w14:paraId="28308F38" w14:textId="77777777" w:rsidR="00D91792" w:rsidRPr="00BE555F" w:rsidRDefault="00D91792" w:rsidP="00932C52">
            <w:pPr>
              <w:pStyle w:val="TAH"/>
              <w:rPr>
                <w:rFonts w:cs="Arial"/>
                <w:szCs w:val="18"/>
              </w:rPr>
            </w:pPr>
            <w:r w:rsidRPr="00BE555F">
              <w:rPr>
                <w:rFonts w:cs="Arial"/>
                <w:szCs w:val="18"/>
              </w:rPr>
              <w:t>Per</w:t>
            </w:r>
          </w:p>
        </w:tc>
        <w:tc>
          <w:tcPr>
            <w:tcW w:w="630" w:type="dxa"/>
          </w:tcPr>
          <w:p w14:paraId="69F318D4" w14:textId="77777777" w:rsidR="00D91792" w:rsidRPr="00BE555F" w:rsidRDefault="00D91792" w:rsidP="00932C52">
            <w:pPr>
              <w:pStyle w:val="TAH"/>
              <w:rPr>
                <w:rFonts w:cs="Arial"/>
                <w:szCs w:val="18"/>
              </w:rPr>
            </w:pPr>
            <w:r w:rsidRPr="00BE555F">
              <w:rPr>
                <w:rFonts w:cs="Arial"/>
                <w:szCs w:val="18"/>
              </w:rPr>
              <w:t>M</w:t>
            </w:r>
          </w:p>
        </w:tc>
        <w:tc>
          <w:tcPr>
            <w:tcW w:w="990" w:type="dxa"/>
          </w:tcPr>
          <w:p w14:paraId="2E0C73C7" w14:textId="77777777" w:rsidR="00D91792" w:rsidRPr="00BE555F" w:rsidRDefault="00D91792" w:rsidP="00932C52">
            <w:pPr>
              <w:pStyle w:val="TAH"/>
              <w:rPr>
                <w:rFonts w:cs="Arial"/>
                <w:szCs w:val="18"/>
              </w:rPr>
            </w:pPr>
            <w:r w:rsidRPr="00BE555F">
              <w:rPr>
                <w:rFonts w:cs="Arial"/>
                <w:szCs w:val="18"/>
              </w:rPr>
              <w:t>FDD-TDD DIFF</w:t>
            </w:r>
          </w:p>
        </w:tc>
      </w:tr>
      <w:tr w:rsidR="00D91792" w:rsidRPr="00BE555F" w14:paraId="2481FED6" w14:textId="77777777" w:rsidTr="00932C52">
        <w:trPr>
          <w:cantSplit/>
        </w:trPr>
        <w:tc>
          <w:tcPr>
            <w:tcW w:w="7290" w:type="dxa"/>
          </w:tcPr>
          <w:p w14:paraId="7435179E" w14:textId="77777777" w:rsidR="00D91792" w:rsidRPr="00BE555F" w:rsidRDefault="00D91792" w:rsidP="00932C52">
            <w:pPr>
              <w:pStyle w:val="TAL"/>
              <w:rPr>
                <w:b/>
                <w:bCs/>
                <w:i/>
                <w:iCs/>
              </w:rPr>
            </w:pPr>
            <w:r w:rsidRPr="00BE555F">
              <w:rPr>
                <w:b/>
                <w:bCs/>
                <w:i/>
                <w:iCs/>
              </w:rPr>
              <w:t>ncd-SSB-ForRedCapInitialBWP-SDT-r17</w:t>
            </w:r>
          </w:p>
          <w:p w14:paraId="33D7F425" w14:textId="77777777" w:rsidR="00D91792" w:rsidRPr="00BE555F" w:rsidRDefault="00D91792" w:rsidP="00932C52">
            <w:pPr>
              <w:pStyle w:val="TAL"/>
            </w:pPr>
            <w:r w:rsidRPr="00BE555F">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BE555F">
              <w:rPr>
                <w:rFonts w:cs="Arial"/>
                <w:i/>
                <w:szCs w:val="18"/>
              </w:rPr>
              <w:t>supportOfRedCap-r17</w:t>
            </w:r>
            <w:r w:rsidRPr="00BE555F">
              <w:rPr>
                <w:rFonts w:cs="Arial"/>
                <w:iCs/>
                <w:szCs w:val="18"/>
              </w:rPr>
              <w:t xml:space="preserve"> and </w:t>
            </w:r>
            <w:r w:rsidRPr="00BE555F">
              <w:rPr>
                <w:rFonts w:cs="Arial"/>
                <w:i/>
                <w:szCs w:val="18"/>
              </w:rPr>
              <w:t>ra-SDT-r17 and/or cg-SDT-r17</w:t>
            </w:r>
            <w:r w:rsidRPr="00BE555F">
              <w:rPr>
                <w:rFonts w:cs="Arial"/>
                <w:szCs w:val="18"/>
              </w:rPr>
              <w:t>.</w:t>
            </w:r>
          </w:p>
        </w:tc>
        <w:tc>
          <w:tcPr>
            <w:tcW w:w="720" w:type="dxa"/>
          </w:tcPr>
          <w:p w14:paraId="7EBE1112" w14:textId="77777777" w:rsidR="00D91792" w:rsidRPr="00BE555F" w:rsidRDefault="00D91792" w:rsidP="00932C52">
            <w:pPr>
              <w:pStyle w:val="TAL"/>
              <w:jc w:val="center"/>
              <w:rPr>
                <w:rFonts w:cs="Arial"/>
                <w:szCs w:val="18"/>
                <w:lang w:eastAsia="en-US"/>
              </w:rPr>
            </w:pPr>
            <w:r w:rsidRPr="00BE555F">
              <w:rPr>
                <w:rFonts w:cs="Arial"/>
                <w:szCs w:val="18"/>
                <w:lang w:eastAsia="en-US"/>
              </w:rPr>
              <w:t>UE</w:t>
            </w:r>
          </w:p>
        </w:tc>
        <w:tc>
          <w:tcPr>
            <w:tcW w:w="630" w:type="dxa"/>
          </w:tcPr>
          <w:p w14:paraId="5CA1D360" w14:textId="77777777" w:rsidR="00D91792" w:rsidRPr="00BE555F" w:rsidRDefault="00D91792" w:rsidP="00932C52">
            <w:pPr>
              <w:pStyle w:val="TAL"/>
              <w:jc w:val="center"/>
              <w:rPr>
                <w:rFonts w:cs="Arial"/>
                <w:szCs w:val="18"/>
                <w:lang w:eastAsia="en-US"/>
              </w:rPr>
            </w:pPr>
            <w:r w:rsidRPr="00BE555F">
              <w:rPr>
                <w:rFonts w:cs="Arial"/>
                <w:szCs w:val="18"/>
                <w:lang w:eastAsia="en-US"/>
              </w:rPr>
              <w:t>No</w:t>
            </w:r>
          </w:p>
        </w:tc>
        <w:tc>
          <w:tcPr>
            <w:tcW w:w="990" w:type="dxa"/>
          </w:tcPr>
          <w:p w14:paraId="4737032F" w14:textId="77777777" w:rsidR="00D91792" w:rsidRPr="00BE555F" w:rsidRDefault="00D91792" w:rsidP="00932C52">
            <w:pPr>
              <w:pStyle w:val="TAL"/>
              <w:jc w:val="center"/>
              <w:rPr>
                <w:rFonts w:cs="Arial"/>
                <w:szCs w:val="18"/>
                <w:lang w:eastAsia="en-US"/>
              </w:rPr>
            </w:pPr>
            <w:r w:rsidRPr="00BE555F">
              <w:rPr>
                <w:rFonts w:cs="Arial"/>
                <w:szCs w:val="18"/>
                <w:lang w:eastAsia="en-US"/>
              </w:rPr>
              <w:t>No</w:t>
            </w:r>
          </w:p>
        </w:tc>
      </w:tr>
    </w:tbl>
    <w:p w14:paraId="50052BAD" w14:textId="2E5808A3" w:rsidR="00D91792" w:rsidRDefault="00D91792" w:rsidP="00A762C9">
      <w:pPr>
        <w:pStyle w:val="a8"/>
        <w:spacing w:beforeLines="50" w:before="120" w:line="288" w:lineRule="auto"/>
        <w:rPr>
          <w:rFonts w:ascii="Times New Roman" w:hAnsi="Times New Roman"/>
          <w:sz w:val="22"/>
          <w:szCs w:val="22"/>
        </w:rPr>
      </w:pPr>
      <w:r>
        <w:rPr>
          <w:rFonts w:ascii="Times New Roman" w:hAnsi="Times New Roman" w:hint="eastAsia"/>
          <w:sz w:val="22"/>
          <w:szCs w:val="22"/>
        </w:rPr>
        <w:t>The simplest way to handle these SDT related UE capabilities introduced in Rel-17 is to limit these UE capabilities only supporting MO-SDT but not supporting MT-SDT. But some companies think if UE indicates support for these capabilities and also support MT-SDT (either CG or RA)</w:t>
      </w:r>
      <w:r w:rsidR="00292E75">
        <w:rPr>
          <w:rFonts w:ascii="Times New Roman" w:hAnsi="Times New Roman"/>
          <w:sz w:val="22"/>
          <w:szCs w:val="22"/>
        </w:rPr>
        <w:t>, and</w:t>
      </w:r>
      <w:r>
        <w:rPr>
          <w:rFonts w:ascii="Times New Roman" w:hAnsi="Times New Roman" w:hint="eastAsia"/>
          <w:sz w:val="22"/>
          <w:szCs w:val="22"/>
        </w:rPr>
        <w:t xml:space="preserve"> then the UE </w:t>
      </w:r>
      <w:r w:rsidR="00FB3CBD">
        <w:rPr>
          <w:rFonts w:ascii="Times New Roman" w:hAnsi="Times New Roman" w:hint="eastAsia"/>
          <w:sz w:val="22"/>
          <w:szCs w:val="22"/>
        </w:rPr>
        <w:t xml:space="preserve">can use these UE capabilities to indicate that UE support the both features and MT-SDT. </w:t>
      </w:r>
      <w:r w:rsidR="00FB3CBD">
        <w:rPr>
          <w:rFonts w:ascii="Times New Roman" w:hAnsi="Times New Roman"/>
          <w:sz w:val="22"/>
          <w:szCs w:val="22"/>
        </w:rPr>
        <w:t>T</w:t>
      </w:r>
      <w:r w:rsidR="00FB3CBD">
        <w:rPr>
          <w:rFonts w:ascii="Times New Roman" w:hAnsi="Times New Roman" w:hint="eastAsia"/>
          <w:sz w:val="22"/>
          <w:szCs w:val="22"/>
        </w:rPr>
        <w:t xml:space="preserve">his can avoid introducing </w:t>
      </w:r>
      <w:r w:rsidR="0033703B">
        <w:rPr>
          <w:rFonts w:ascii="Times New Roman" w:hAnsi="Times New Roman" w:hint="eastAsia"/>
          <w:sz w:val="22"/>
          <w:szCs w:val="22"/>
        </w:rPr>
        <w:t>additional UE capabilities just for MT-SDT.</w:t>
      </w:r>
    </w:p>
    <w:p w14:paraId="4FCFAF09" w14:textId="375F3759" w:rsidR="00292E75" w:rsidRDefault="00D91792" w:rsidP="00A762C9">
      <w:pPr>
        <w:pStyle w:val="a8"/>
        <w:spacing w:beforeLines="50" w:before="120" w:line="288" w:lineRule="auto"/>
        <w:rPr>
          <w:rFonts w:ascii="Times New Roman" w:hAnsi="Times New Roman"/>
          <w:sz w:val="22"/>
          <w:szCs w:val="22"/>
        </w:rPr>
      </w:pPr>
      <w:r>
        <w:rPr>
          <w:rFonts w:ascii="Times New Roman" w:hAnsi="Times New Roman" w:hint="eastAsia"/>
          <w:sz w:val="22"/>
          <w:szCs w:val="22"/>
        </w:rPr>
        <w:t xml:space="preserve">In our understanding, </w:t>
      </w:r>
      <w:r w:rsidR="00FB3CBD">
        <w:rPr>
          <w:rFonts w:ascii="Times New Roman" w:hAnsi="Times New Roman" w:hint="eastAsia"/>
          <w:sz w:val="22"/>
          <w:szCs w:val="22"/>
        </w:rPr>
        <w:t>the current UE capabilities</w:t>
      </w:r>
      <w:r w:rsidR="00292E75">
        <w:rPr>
          <w:rFonts w:ascii="Times New Roman" w:hAnsi="Times New Roman" w:hint="eastAsia"/>
          <w:sz w:val="22"/>
          <w:szCs w:val="22"/>
        </w:rPr>
        <w:t xml:space="preserve"> related to both SDT and other feature</w:t>
      </w:r>
      <w:r w:rsidR="0033703B">
        <w:rPr>
          <w:rFonts w:ascii="Times New Roman" w:hAnsi="Times New Roman" w:hint="eastAsia"/>
          <w:sz w:val="22"/>
          <w:szCs w:val="22"/>
        </w:rPr>
        <w:t xml:space="preserve"> is discussed and introduced in corresponding feature WI. In each feature discussion, they are very clear whether this feature can perform MO-SDT procedure or MT-SDT procedure. </w:t>
      </w:r>
      <w:r w:rsidR="0033703B">
        <w:rPr>
          <w:rFonts w:ascii="Times New Roman" w:hAnsi="Times New Roman"/>
          <w:sz w:val="22"/>
          <w:szCs w:val="22"/>
        </w:rPr>
        <w:t>C</w:t>
      </w:r>
      <w:r w:rsidR="0033703B">
        <w:rPr>
          <w:rFonts w:ascii="Times New Roman" w:hAnsi="Times New Roman" w:hint="eastAsia"/>
          <w:sz w:val="22"/>
          <w:szCs w:val="22"/>
        </w:rPr>
        <w:t>onsidering the MT-SDT WI is finished before other features, if they want to support MT-SDT in their feature, they can discuss whether reuse the current UE capabilities or introduce new UE capabilities. So we think the simplest way to handle these UE capabilities to just limit them to MO-SDT now.</w:t>
      </w:r>
    </w:p>
    <w:p w14:paraId="0E30580A" w14:textId="585CFE38" w:rsidR="00B94A8B" w:rsidRPr="00396B92" w:rsidRDefault="0033703B" w:rsidP="00A762C9">
      <w:pPr>
        <w:pStyle w:val="a8"/>
        <w:spacing w:beforeLines="50" w:before="120" w:line="288" w:lineRule="auto"/>
        <w:rPr>
          <w:rFonts w:ascii="Times New Roman" w:hAnsi="Times New Roman"/>
          <w:b/>
          <w:sz w:val="22"/>
          <w:szCs w:val="22"/>
        </w:rPr>
      </w:pPr>
      <w:r w:rsidRPr="0033703B">
        <w:rPr>
          <w:rFonts w:ascii="Times New Roman" w:hAnsi="Times New Roman" w:hint="eastAsia"/>
          <w:b/>
          <w:sz w:val="22"/>
          <w:szCs w:val="22"/>
        </w:rPr>
        <w:t xml:space="preserve">Proposal 1: Limit the UE capabilities which </w:t>
      </w:r>
      <w:r w:rsidR="00BB6BE9">
        <w:rPr>
          <w:rFonts w:ascii="Times New Roman" w:hAnsi="Times New Roman" w:hint="eastAsia"/>
          <w:b/>
          <w:sz w:val="22"/>
          <w:szCs w:val="22"/>
        </w:rPr>
        <w:t xml:space="preserve">are </w:t>
      </w:r>
      <w:r w:rsidRPr="0033703B">
        <w:rPr>
          <w:rFonts w:ascii="Times New Roman" w:hAnsi="Times New Roman" w:hint="eastAsia"/>
          <w:b/>
          <w:sz w:val="22"/>
          <w:szCs w:val="22"/>
        </w:rPr>
        <w:t>related to SDT and other features only to MO-SDT.</w:t>
      </w:r>
    </w:p>
    <w:p w14:paraId="5133705B" w14:textId="18C4EA72" w:rsidR="002D3116" w:rsidRPr="002D3116" w:rsidRDefault="002D3116" w:rsidP="002D3116">
      <w:pPr>
        <w:pStyle w:val="21"/>
        <w:rPr>
          <w:lang w:eastAsia="zh-CN"/>
        </w:rPr>
      </w:pPr>
      <w:r>
        <w:rPr>
          <w:rFonts w:hint="eastAsia"/>
        </w:rPr>
        <w:t>2.</w:t>
      </w:r>
      <w:r>
        <w:rPr>
          <w:rFonts w:hint="eastAsia"/>
          <w:lang w:eastAsia="zh-CN"/>
        </w:rPr>
        <w:t>2</w:t>
      </w:r>
      <w:r w:rsidRPr="001D73EA">
        <w:rPr>
          <w:rFonts w:hint="eastAsia"/>
        </w:rPr>
        <w:t xml:space="preserve"> </w:t>
      </w:r>
      <w:r>
        <w:rPr>
          <w:rFonts w:hint="eastAsia"/>
          <w:lang w:eastAsia="zh-CN"/>
        </w:rPr>
        <w:t>The relationship of two UE capabilities related to extended periodicity</w:t>
      </w:r>
    </w:p>
    <w:p w14:paraId="36D592EA" w14:textId="3F388C9C" w:rsidR="00226779" w:rsidRDefault="00396B92" w:rsidP="00A762C9">
      <w:pPr>
        <w:pStyle w:val="a8"/>
        <w:spacing w:beforeLines="50" w:before="120" w:line="288" w:lineRule="auto"/>
        <w:rPr>
          <w:rFonts w:ascii="Times New Roman" w:hAnsi="Times New Roman"/>
          <w:sz w:val="22"/>
          <w:szCs w:val="22"/>
        </w:rPr>
      </w:pPr>
      <w:r>
        <w:rPr>
          <w:rFonts w:ascii="Times New Roman" w:hAnsi="Times New Roman" w:hint="eastAsia"/>
          <w:sz w:val="22"/>
          <w:szCs w:val="22"/>
        </w:rPr>
        <w:t>In Rel-18 TEI, it was agreed to extend the range of CG-SDT periodicities and support to select RACH resources instead of configured grant type1 resource when</w:t>
      </w:r>
      <w:r w:rsidR="00226779">
        <w:rPr>
          <w:rFonts w:ascii="Times New Roman" w:hAnsi="Times New Roman" w:hint="eastAsia"/>
          <w:sz w:val="22"/>
          <w:szCs w:val="22"/>
        </w:rPr>
        <w:t xml:space="preserve"> triggering resume for MO-SDT or MT-SDT and next CG-SDT resource is too far. During the discussion on the Running CR of UE capability, most companies agree to introduce two separate new UE capabilities to separately indicate that UE supports extended CG-SDT periodicities and UE can fall back to RA when next CG occasion is too far. </w:t>
      </w:r>
      <w:r w:rsidR="00226779">
        <w:rPr>
          <w:rFonts w:ascii="Times New Roman" w:hAnsi="Times New Roman"/>
          <w:sz w:val="22"/>
          <w:szCs w:val="22"/>
        </w:rPr>
        <w:t>I</w:t>
      </w:r>
      <w:r w:rsidR="00226779">
        <w:rPr>
          <w:rFonts w:ascii="Times New Roman" w:hAnsi="Times New Roman" w:hint="eastAsia"/>
          <w:sz w:val="22"/>
          <w:szCs w:val="22"/>
        </w:rPr>
        <w:t>n general, we agree to introduce two separate UE capabilities. But whether these two new UE capabilities have dependent relationship needs more discussion.</w:t>
      </w:r>
    </w:p>
    <w:p w14:paraId="1D18DC7F" w14:textId="468C3A1D" w:rsidR="006F582A" w:rsidRDefault="00226779" w:rsidP="00A762C9">
      <w:pPr>
        <w:pStyle w:val="a8"/>
        <w:spacing w:beforeLines="50" w:before="120" w:line="288" w:lineRule="auto"/>
        <w:rPr>
          <w:rFonts w:ascii="Times New Roman" w:hAnsi="Times New Roman"/>
          <w:sz w:val="22"/>
          <w:szCs w:val="22"/>
        </w:rPr>
      </w:pPr>
      <w:r>
        <w:rPr>
          <w:rFonts w:ascii="Times New Roman" w:hAnsi="Times New Roman" w:hint="eastAsia"/>
          <w:sz w:val="22"/>
          <w:szCs w:val="22"/>
        </w:rPr>
        <w:t xml:space="preserve">In our understanding, the fall back mechanism should </w:t>
      </w:r>
      <w:r w:rsidR="006F582A">
        <w:rPr>
          <w:rFonts w:ascii="Times New Roman" w:hAnsi="Times New Roman" w:hint="eastAsia"/>
          <w:sz w:val="22"/>
          <w:szCs w:val="22"/>
        </w:rPr>
        <w:t xml:space="preserve">be </w:t>
      </w:r>
      <w:r w:rsidR="006F582A">
        <w:rPr>
          <w:rFonts w:ascii="Times New Roman" w:hAnsi="Times New Roman"/>
          <w:sz w:val="22"/>
          <w:szCs w:val="22"/>
        </w:rPr>
        <w:t>supported</w:t>
      </w:r>
      <w:r w:rsidR="006F582A">
        <w:rPr>
          <w:rFonts w:ascii="Times New Roman" w:hAnsi="Times New Roman" w:hint="eastAsia"/>
          <w:sz w:val="22"/>
          <w:szCs w:val="22"/>
        </w:rPr>
        <w:t xml:space="preserve"> mandatorily</w:t>
      </w:r>
      <w:r>
        <w:rPr>
          <w:rFonts w:ascii="Times New Roman" w:hAnsi="Times New Roman" w:hint="eastAsia"/>
          <w:sz w:val="22"/>
          <w:szCs w:val="22"/>
        </w:rPr>
        <w:t xml:space="preserve"> </w:t>
      </w:r>
      <w:r w:rsidR="002D3116">
        <w:rPr>
          <w:rFonts w:ascii="Times New Roman" w:hAnsi="Times New Roman" w:hint="eastAsia"/>
          <w:sz w:val="22"/>
          <w:szCs w:val="22"/>
        </w:rPr>
        <w:t>in case of extended</w:t>
      </w:r>
      <w:r>
        <w:rPr>
          <w:rFonts w:ascii="Times New Roman" w:hAnsi="Times New Roman" w:hint="eastAsia"/>
          <w:sz w:val="22"/>
          <w:szCs w:val="22"/>
        </w:rPr>
        <w:t xml:space="preserve"> CG periodicity</w:t>
      </w:r>
      <w:r w:rsidR="000502ED">
        <w:rPr>
          <w:rFonts w:ascii="Times New Roman" w:hAnsi="Times New Roman" w:hint="eastAsia"/>
          <w:sz w:val="22"/>
          <w:szCs w:val="22"/>
        </w:rPr>
        <w:t xml:space="preserve"> as other companies proposed. Because</w:t>
      </w:r>
      <w:r>
        <w:rPr>
          <w:rFonts w:ascii="Times New Roman" w:hAnsi="Times New Roman" w:hint="eastAsia"/>
          <w:sz w:val="22"/>
          <w:szCs w:val="22"/>
        </w:rPr>
        <w:t xml:space="preserve"> </w:t>
      </w:r>
      <w:r w:rsidR="000502ED">
        <w:rPr>
          <w:rFonts w:ascii="Times New Roman" w:hAnsi="Times New Roman" w:hint="eastAsia"/>
          <w:sz w:val="22"/>
          <w:szCs w:val="22"/>
        </w:rPr>
        <w:t>in case of</w:t>
      </w:r>
      <w:r w:rsidR="006F582A">
        <w:rPr>
          <w:rFonts w:ascii="Times New Roman" w:hAnsi="Times New Roman" w:hint="eastAsia"/>
          <w:sz w:val="22"/>
          <w:szCs w:val="22"/>
        </w:rPr>
        <w:t xml:space="preserve"> UE support</w:t>
      </w:r>
      <w:r w:rsidR="000502ED">
        <w:rPr>
          <w:rFonts w:ascii="Times New Roman" w:hAnsi="Times New Roman" w:hint="eastAsia"/>
          <w:sz w:val="22"/>
          <w:szCs w:val="22"/>
        </w:rPr>
        <w:t>ing</w:t>
      </w:r>
      <w:r w:rsidR="002D3116">
        <w:rPr>
          <w:rFonts w:ascii="Times New Roman" w:hAnsi="Times New Roman" w:hint="eastAsia"/>
          <w:sz w:val="22"/>
          <w:szCs w:val="22"/>
        </w:rPr>
        <w:t xml:space="preserve"> the extended</w:t>
      </w:r>
      <w:r w:rsidR="006F582A">
        <w:rPr>
          <w:rFonts w:ascii="Times New Roman" w:hAnsi="Times New Roman" w:hint="eastAsia"/>
          <w:sz w:val="22"/>
          <w:szCs w:val="22"/>
        </w:rPr>
        <w:t xml:space="preserve"> CG resource perio</w:t>
      </w:r>
      <w:r w:rsidR="000502ED">
        <w:rPr>
          <w:rFonts w:ascii="Times New Roman" w:hAnsi="Times New Roman" w:hint="eastAsia"/>
          <w:sz w:val="22"/>
          <w:szCs w:val="22"/>
        </w:rPr>
        <w:t xml:space="preserve">dicity, there is a higher </w:t>
      </w:r>
      <w:r w:rsidR="000502ED">
        <w:rPr>
          <w:rFonts w:ascii="Times New Roman" w:hAnsi="Times New Roman"/>
          <w:sz w:val="22"/>
          <w:szCs w:val="22"/>
        </w:rPr>
        <w:t>possibility</w:t>
      </w:r>
      <w:r w:rsidR="000502ED">
        <w:rPr>
          <w:rFonts w:ascii="Times New Roman" w:hAnsi="Times New Roman" w:hint="eastAsia"/>
          <w:sz w:val="22"/>
          <w:szCs w:val="22"/>
        </w:rPr>
        <w:t xml:space="preserve"> that the time between triggering resume for MO-SDT or MT-SDT to the next CG-SDT occasion is too far. If UE </w:t>
      </w:r>
      <w:r w:rsidR="000502ED">
        <w:rPr>
          <w:rFonts w:ascii="Times New Roman" w:hAnsi="Times New Roman"/>
          <w:sz w:val="22"/>
          <w:szCs w:val="22"/>
        </w:rPr>
        <w:t>only</w:t>
      </w:r>
      <w:r w:rsidR="000502ED">
        <w:rPr>
          <w:rFonts w:ascii="Times New Roman" w:hAnsi="Times New Roman" w:hint="eastAsia"/>
          <w:sz w:val="22"/>
          <w:szCs w:val="22"/>
        </w:rPr>
        <w:t xml:space="preserve"> supports</w:t>
      </w:r>
      <w:r w:rsidR="002D3116">
        <w:rPr>
          <w:rFonts w:ascii="Times New Roman" w:hAnsi="Times New Roman" w:hint="eastAsia"/>
          <w:sz w:val="22"/>
          <w:szCs w:val="22"/>
        </w:rPr>
        <w:t xml:space="preserve"> the extended</w:t>
      </w:r>
      <w:r w:rsidR="000502ED">
        <w:rPr>
          <w:rFonts w:ascii="Times New Roman" w:hAnsi="Times New Roman" w:hint="eastAsia"/>
          <w:sz w:val="22"/>
          <w:szCs w:val="22"/>
        </w:rPr>
        <w:t xml:space="preserve"> CG resource </w:t>
      </w:r>
      <w:r w:rsidR="000502ED">
        <w:rPr>
          <w:rFonts w:ascii="Times New Roman" w:hAnsi="Times New Roman"/>
          <w:sz w:val="22"/>
          <w:szCs w:val="22"/>
        </w:rPr>
        <w:t>p</w:t>
      </w:r>
      <w:r w:rsidR="000502ED">
        <w:rPr>
          <w:rFonts w:ascii="Times New Roman" w:hAnsi="Times New Roman" w:hint="eastAsia"/>
          <w:sz w:val="22"/>
          <w:szCs w:val="22"/>
        </w:rPr>
        <w:t xml:space="preserve">eriodicity but not supports the fall back mechanism, UE can only wait for next CG occasion comes until the timer T319a </w:t>
      </w:r>
      <w:r w:rsidR="000502ED">
        <w:rPr>
          <w:rFonts w:ascii="Times New Roman" w:hAnsi="Times New Roman"/>
          <w:sz w:val="22"/>
          <w:szCs w:val="22"/>
        </w:rPr>
        <w:t>expire</w:t>
      </w:r>
      <w:r w:rsidR="000502ED">
        <w:rPr>
          <w:rFonts w:ascii="Times New Roman" w:hAnsi="Times New Roman" w:hint="eastAsia"/>
          <w:sz w:val="22"/>
          <w:szCs w:val="22"/>
        </w:rPr>
        <w:t xml:space="preserve">s. </w:t>
      </w:r>
      <w:r w:rsidR="000502ED">
        <w:rPr>
          <w:rFonts w:ascii="Times New Roman" w:hAnsi="Times New Roman"/>
          <w:sz w:val="22"/>
          <w:szCs w:val="22"/>
        </w:rPr>
        <w:t>A</w:t>
      </w:r>
      <w:r w:rsidR="000502ED">
        <w:rPr>
          <w:rFonts w:ascii="Times New Roman" w:hAnsi="Times New Roman" w:hint="eastAsia"/>
          <w:sz w:val="22"/>
          <w:szCs w:val="22"/>
        </w:rPr>
        <w:t xml:space="preserve">nd then </w:t>
      </w:r>
      <w:r w:rsidR="000502ED">
        <w:rPr>
          <w:rFonts w:ascii="Times New Roman" w:hAnsi="Times New Roman"/>
          <w:sz w:val="22"/>
          <w:szCs w:val="22"/>
        </w:rPr>
        <w:t>declare</w:t>
      </w:r>
      <w:r w:rsidR="000502ED">
        <w:rPr>
          <w:rFonts w:ascii="Times New Roman" w:hAnsi="Times New Roman" w:hint="eastAsia"/>
          <w:sz w:val="22"/>
          <w:szCs w:val="22"/>
        </w:rPr>
        <w:t xml:space="preserve"> the SDT failure and then reconnect to the network. This will cause more delay. So it is important to support the fall back mechanism if UE</w:t>
      </w:r>
      <w:r w:rsidR="002D3116">
        <w:rPr>
          <w:rFonts w:ascii="Times New Roman" w:hAnsi="Times New Roman" w:hint="eastAsia"/>
          <w:sz w:val="22"/>
          <w:szCs w:val="22"/>
        </w:rPr>
        <w:t xml:space="preserve"> support the extended</w:t>
      </w:r>
      <w:r w:rsidR="000502ED">
        <w:rPr>
          <w:rFonts w:ascii="Times New Roman" w:hAnsi="Times New Roman" w:hint="eastAsia"/>
          <w:sz w:val="22"/>
          <w:szCs w:val="22"/>
        </w:rPr>
        <w:t xml:space="preserve"> CG p</w:t>
      </w:r>
      <w:r w:rsidR="002D3116">
        <w:rPr>
          <w:rFonts w:ascii="Times New Roman" w:hAnsi="Times New Roman" w:hint="eastAsia"/>
          <w:sz w:val="22"/>
          <w:szCs w:val="22"/>
        </w:rPr>
        <w:t>eriodicity. The UE capability that indicating UE can fall back to RA when next CG occasion is too far should be mandatory supported when UE supporting the UE capability that UE supports extended CG-SDT periodicities.</w:t>
      </w:r>
    </w:p>
    <w:p w14:paraId="1347DD0A" w14:textId="20FE0EDB" w:rsidR="002D3116" w:rsidRPr="006239E4" w:rsidRDefault="002D3116" w:rsidP="00A762C9">
      <w:pPr>
        <w:pStyle w:val="a8"/>
        <w:spacing w:beforeLines="50" w:before="120" w:line="288" w:lineRule="auto"/>
        <w:rPr>
          <w:rFonts w:ascii="Times New Roman" w:hAnsi="Times New Roman"/>
          <w:b/>
          <w:sz w:val="22"/>
          <w:szCs w:val="22"/>
        </w:rPr>
      </w:pPr>
      <w:r w:rsidRPr="002D3116">
        <w:rPr>
          <w:rFonts w:ascii="Times New Roman" w:hAnsi="Times New Roman" w:hint="eastAsia"/>
          <w:b/>
          <w:sz w:val="22"/>
          <w:szCs w:val="22"/>
        </w:rPr>
        <w:t>Proposal 2</w:t>
      </w:r>
      <w:r w:rsidR="00BB6BE9">
        <w:rPr>
          <w:rFonts w:ascii="Times New Roman" w:hAnsi="Times New Roman" w:hint="eastAsia"/>
          <w:b/>
          <w:sz w:val="22"/>
          <w:szCs w:val="22"/>
        </w:rPr>
        <w:t>:</w:t>
      </w:r>
      <w:r w:rsidRPr="002D3116">
        <w:rPr>
          <w:rFonts w:ascii="Times New Roman" w:hAnsi="Times New Roman" w:hint="eastAsia"/>
          <w:b/>
          <w:sz w:val="22"/>
          <w:szCs w:val="22"/>
        </w:rPr>
        <w:t xml:space="preserve"> The UE capability that indicating UE can fall back to RA when next CG occasion is too far should be mandatory supported</w:t>
      </w:r>
      <w:r w:rsidR="00BB6BE9">
        <w:rPr>
          <w:rFonts w:ascii="Times New Roman" w:hAnsi="Times New Roman" w:hint="eastAsia"/>
          <w:b/>
          <w:sz w:val="22"/>
          <w:szCs w:val="22"/>
        </w:rPr>
        <w:t xml:space="preserve"> when UE supports</w:t>
      </w:r>
      <w:r w:rsidRPr="002D3116">
        <w:rPr>
          <w:rFonts w:ascii="Times New Roman" w:hAnsi="Times New Roman" w:hint="eastAsia"/>
          <w:b/>
          <w:sz w:val="22"/>
          <w:szCs w:val="22"/>
        </w:rPr>
        <w:t xml:space="preserve"> the UE capability that UE supports extended CG-SDT periodicities.</w:t>
      </w:r>
    </w:p>
    <w:p w14:paraId="0CF6040A" w14:textId="04F54237" w:rsidR="00064E39" w:rsidRPr="00CB0891" w:rsidRDefault="00E97523" w:rsidP="00064E39">
      <w:pPr>
        <w:pStyle w:val="1"/>
      </w:pPr>
      <w:bookmarkStart w:id="2" w:name="_Ref189046994"/>
      <w:r w:rsidRPr="00CB0891">
        <w:lastRenderedPageBreak/>
        <w:t xml:space="preserve">3 </w:t>
      </w:r>
      <w:r w:rsidR="00064E39" w:rsidRPr="00CB0891">
        <w:t>Conclusion</w:t>
      </w:r>
    </w:p>
    <w:p w14:paraId="57AE8298" w14:textId="354F5879" w:rsidR="00FB79AB" w:rsidRPr="007B28C8" w:rsidRDefault="00264077" w:rsidP="007B28C8">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DD42B8">
        <w:rPr>
          <w:rFonts w:ascii="Times New Roman" w:hAnsi="Times New Roman"/>
          <w:sz w:val="22"/>
          <w:szCs w:val="22"/>
        </w:rPr>
        <w:t>, the following</w:t>
      </w:r>
      <w:r w:rsidR="00DD42B8">
        <w:rPr>
          <w:rFonts w:ascii="Times New Roman" w:hAnsi="Times New Roman" w:hint="eastAsia"/>
          <w:sz w:val="22"/>
          <w:szCs w:val="22"/>
        </w:rPr>
        <w:t xml:space="preserve"> </w:t>
      </w:r>
      <w:r w:rsidR="00FB79AB" w:rsidRPr="007B28C8">
        <w:rPr>
          <w:rFonts w:ascii="Times New Roman" w:hAnsi="Times New Roman"/>
          <w:sz w:val="22"/>
          <w:szCs w:val="22"/>
        </w:rPr>
        <w:t>proposals are formulated:</w:t>
      </w:r>
    </w:p>
    <w:p w14:paraId="6C7FC4FF" w14:textId="73C40B43" w:rsidR="006239E4" w:rsidRPr="00396B92" w:rsidRDefault="00BB6BE9" w:rsidP="006239E4">
      <w:pPr>
        <w:pStyle w:val="a8"/>
        <w:spacing w:beforeLines="50" w:before="120" w:line="288" w:lineRule="auto"/>
        <w:rPr>
          <w:rFonts w:ascii="Times New Roman" w:hAnsi="Times New Roman"/>
          <w:b/>
          <w:sz w:val="22"/>
          <w:szCs w:val="22"/>
        </w:rPr>
      </w:pPr>
      <w:r w:rsidRPr="0033703B">
        <w:rPr>
          <w:rFonts w:ascii="Times New Roman" w:hAnsi="Times New Roman" w:hint="eastAsia"/>
          <w:b/>
          <w:sz w:val="22"/>
          <w:szCs w:val="22"/>
        </w:rPr>
        <w:t xml:space="preserve">Proposal 1: Limit the UE capabilities which </w:t>
      </w:r>
      <w:r>
        <w:rPr>
          <w:rFonts w:ascii="Times New Roman" w:hAnsi="Times New Roman" w:hint="eastAsia"/>
          <w:b/>
          <w:sz w:val="22"/>
          <w:szCs w:val="22"/>
        </w:rPr>
        <w:t xml:space="preserve">are </w:t>
      </w:r>
      <w:r w:rsidRPr="0033703B">
        <w:rPr>
          <w:rFonts w:ascii="Times New Roman" w:hAnsi="Times New Roman" w:hint="eastAsia"/>
          <w:b/>
          <w:sz w:val="22"/>
          <w:szCs w:val="22"/>
        </w:rPr>
        <w:t>related to SDT and other features only to MO-SDT.</w:t>
      </w:r>
      <w:r w:rsidR="006239E4" w:rsidRPr="00396B92">
        <w:rPr>
          <w:rFonts w:ascii="Times New Roman" w:hAnsi="Times New Roman" w:hint="eastAsia"/>
          <w:b/>
          <w:sz w:val="22"/>
          <w:szCs w:val="22"/>
        </w:rPr>
        <w:t xml:space="preserve"> </w:t>
      </w:r>
    </w:p>
    <w:p w14:paraId="27D3A68B" w14:textId="77777777" w:rsidR="00BB6BE9" w:rsidRPr="006239E4" w:rsidRDefault="00BB6BE9" w:rsidP="00BB6BE9">
      <w:pPr>
        <w:pStyle w:val="a8"/>
        <w:spacing w:beforeLines="50" w:before="120" w:line="288" w:lineRule="auto"/>
        <w:rPr>
          <w:rFonts w:ascii="Times New Roman" w:hAnsi="Times New Roman"/>
          <w:b/>
          <w:sz w:val="22"/>
          <w:szCs w:val="22"/>
        </w:rPr>
      </w:pPr>
      <w:r w:rsidRPr="002D3116">
        <w:rPr>
          <w:rFonts w:ascii="Times New Roman" w:hAnsi="Times New Roman" w:hint="eastAsia"/>
          <w:b/>
          <w:sz w:val="22"/>
          <w:szCs w:val="22"/>
        </w:rPr>
        <w:t>Proposal 2</w:t>
      </w:r>
      <w:r>
        <w:rPr>
          <w:rFonts w:ascii="Times New Roman" w:hAnsi="Times New Roman" w:hint="eastAsia"/>
          <w:b/>
          <w:sz w:val="22"/>
          <w:szCs w:val="22"/>
        </w:rPr>
        <w:t>:</w:t>
      </w:r>
      <w:r w:rsidRPr="002D3116">
        <w:rPr>
          <w:rFonts w:ascii="Times New Roman" w:hAnsi="Times New Roman" w:hint="eastAsia"/>
          <w:b/>
          <w:sz w:val="22"/>
          <w:szCs w:val="22"/>
        </w:rPr>
        <w:t xml:space="preserve"> The UE capability that indicating UE can fall back to RA when next CG occasion is too far should be mandatory supported</w:t>
      </w:r>
      <w:r>
        <w:rPr>
          <w:rFonts w:ascii="Times New Roman" w:hAnsi="Times New Roman" w:hint="eastAsia"/>
          <w:b/>
          <w:sz w:val="22"/>
          <w:szCs w:val="22"/>
        </w:rPr>
        <w:t xml:space="preserve"> when UE supports</w:t>
      </w:r>
      <w:r w:rsidRPr="002D3116">
        <w:rPr>
          <w:rFonts w:ascii="Times New Roman" w:hAnsi="Times New Roman" w:hint="eastAsia"/>
          <w:b/>
          <w:sz w:val="22"/>
          <w:szCs w:val="22"/>
        </w:rPr>
        <w:t xml:space="preserve"> the UE capability that UE supports extended CG-SDT periodicities.</w:t>
      </w:r>
    </w:p>
    <w:p w14:paraId="3565F4E6" w14:textId="1606EE8A" w:rsidR="00064E39" w:rsidRPr="00CB0891" w:rsidRDefault="00324419" w:rsidP="00F011B0">
      <w:pPr>
        <w:pStyle w:val="1"/>
      </w:pPr>
      <w:r w:rsidRPr="00CB0891">
        <w:t xml:space="preserve">4 </w:t>
      </w:r>
      <w:r w:rsidR="00064E39" w:rsidRPr="00CB0891">
        <w:t>References</w:t>
      </w:r>
    </w:p>
    <w:p w14:paraId="437EBAA0" w14:textId="336B9A71" w:rsidR="006D41F1" w:rsidRPr="00DD42B8" w:rsidRDefault="00062334" w:rsidP="00DD42B8">
      <w:pPr>
        <w:pStyle w:val="a8"/>
        <w:numPr>
          <w:ilvl w:val="0"/>
          <w:numId w:val="21"/>
        </w:numPr>
        <w:overflowPunct/>
        <w:autoSpaceDE/>
        <w:autoSpaceDN/>
        <w:adjustRightInd/>
        <w:spacing w:line="288" w:lineRule="auto"/>
        <w:textAlignment w:val="auto"/>
      </w:pPr>
      <w:bookmarkStart w:id="3" w:name="_Ref101774694"/>
      <w:bookmarkStart w:id="4" w:name="_Ref101775077"/>
      <w:bookmarkEnd w:id="2"/>
      <w:r w:rsidRPr="007B28C8">
        <w:rPr>
          <w:rFonts w:ascii="Times New Roman" w:hAnsi="Times New Roman"/>
          <w:sz w:val="22"/>
          <w:szCs w:val="22"/>
        </w:rPr>
        <w:t xml:space="preserve">Report </w:t>
      </w:r>
      <w:r w:rsidR="00DD42B8">
        <w:rPr>
          <w:rFonts w:ascii="Times New Roman" w:hAnsi="Times New Roman"/>
          <w:sz w:val="22"/>
          <w:szCs w:val="22"/>
        </w:rPr>
        <w:t>of 3GPP TSG RAN WG2 meeting #1</w:t>
      </w:r>
      <w:r w:rsidR="006239E4">
        <w:rPr>
          <w:rFonts w:ascii="Times New Roman" w:hAnsi="Times New Roman" w:hint="eastAsia"/>
          <w:sz w:val="22"/>
          <w:szCs w:val="22"/>
        </w:rPr>
        <w:t>23</w:t>
      </w:r>
      <w:r w:rsidRPr="007B28C8">
        <w:rPr>
          <w:rFonts w:ascii="Times New Roman" w:hAnsi="Times New Roman"/>
          <w:sz w:val="22"/>
          <w:szCs w:val="22"/>
        </w:rPr>
        <w:t>;</w:t>
      </w:r>
      <w:bookmarkEnd w:id="3"/>
      <w:bookmarkEnd w:id="4"/>
    </w:p>
    <w:p w14:paraId="782C193D" w14:textId="4210B56C" w:rsidR="001E3DEC" w:rsidRPr="001E3DEC" w:rsidRDefault="001E3DEC" w:rsidP="006239E4">
      <w:pPr>
        <w:pStyle w:val="a8"/>
        <w:overflowPunct/>
        <w:autoSpaceDE/>
        <w:autoSpaceDN/>
        <w:adjustRightInd/>
        <w:textAlignment w:val="auto"/>
        <w:rPr>
          <w:rFonts w:ascii="Times New Roman" w:hAnsi="Times New Roman"/>
          <w:sz w:val="22"/>
          <w:szCs w:val="22"/>
        </w:rPr>
      </w:pPr>
    </w:p>
    <w:sectPr w:rsidR="001E3DEC" w:rsidRPr="001E3DEC" w:rsidSect="00DD42B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A9350" w14:textId="77777777" w:rsidR="00B6341E" w:rsidRDefault="00B6341E">
      <w:r>
        <w:separator/>
      </w:r>
    </w:p>
  </w:endnote>
  <w:endnote w:type="continuationSeparator" w:id="0">
    <w:p w14:paraId="6B949167" w14:textId="77777777" w:rsidR="00B6341E" w:rsidRDefault="00B6341E">
      <w:r>
        <w:continuationSeparator/>
      </w:r>
    </w:p>
  </w:endnote>
  <w:endnote w:type="continuationNotice" w:id="1">
    <w:p w14:paraId="7F6CD68C" w14:textId="77777777" w:rsidR="00B6341E" w:rsidRDefault="00B63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5041B" w14:textId="77777777" w:rsidR="00B6341E" w:rsidRDefault="00B6341E">
      <w:r>
        <w:separator/>
      </w:r>
    </w:p>
  </w:footnote>
  <w:footnote w:type="continuationSeparator" w:id="0">
    <w:p w14:paraId="35C6F870" w14:textId="77777777" w:rsidR="00B6341E" w:rsidRDefault="00B6341E">
      <w:r>
        <w:continuationSeparator/>
      </w:r>
    </w:p>
  </w:footnote>
  <w:footnote w:type="continuationNotice" w:id="1">
    <w:p w14:paraId="7E536077" w14:textId="77777777" w:rsidR="00B6341E" w:rsidRDefault="00B6341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2">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B7E7016"/>
    <w:multiLevelType w:val="hybridMultilevel"/>
    <w:tmpl w:val="C48EEEB6"/>
    <w:lvl w:ilvl="0" w:tplc="63E6E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4">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0"/>
  </w:num>
  <w:num w:numId="3">
    <w:abstractNumId w:val="15"/>
  </w:num>
  <w:num w:numId="4">
    <w:abstractNumId w:val="17"/>
  </w:num>
  <w:num w:numId="5">
    <w:abstractNumId w:val="5"/>
  </w:num>
  <w:num w:numId="6">
    <w:abstractNumId w:val="6"/>
  </w:num>
  <w:num w:numId="7">
    <w:abstractNumId w:val="3"/>
  </w:num>
  <w:num w:numId="8">
    <w:abstractNumId w:val="19"/>
  </w:num>
  <w:num w:numId="9">
    <w:abstractNumId w:val="8"/>
  </w:num>
  <w:num w:numId="10">
    <w:abstractNumId w:val="18"/>
  </w:num>
  <w:num w:numId="11">
    <w:abstractNumId w:val="14"/>
    <w:lvlOverride w:ilvl="0">
      <w:startOverride w:val="1"/>
    </w:lvlOverride>
  </w:num>
  <w:num w:numId="12">
    <w:abstractNumId w:val="9"/>
    <w:lvlOverride w:ilvl="0">
      <w:startOverride w:val="1"/>
    </w:lvlOverride>
  </w:num>
  <w:num w:numId="13">
    <w:abstractNumId w:val="14"/>
    <w:lvlOverride w:ilvl="0">
      <w:startOverride w:val="1"/>
    </w:lvlOverride>
  </w:num>
  <w:num w:numId="14">
    <w:abstractNumId w:val="9"/>
    <w:lvlOverride w:ilvl="0">
      <w:startOverride w:val="1"/>
    </w:lvlOverride>
  </w:num>
  <w:num w:numId="15">
    <w:abstractNumId w:val="13"/>
  </w:num>
  <w:num w:numId="16">
    <w:abstractNumId w:val="10"/>
  </w:num>
  <w:num w:numId="17">
    <w:abstractNumId w:val="14"/>
    <w:lvlOverride w:ilvl="0">
      <w:startOverride w:val="1"/>
    </w:lvlOverride>
  </w:num>
  <w:num w:numId="18">
    <w:abstractNumId w:val="9"/>
    <w:lvlOverride w:ilvl="0">
      <w:startOverride w:val="1"/>
    </w:lvlOverride>
  </w:num>
  <w:num w:numId="19">
    <w:abstractNumId w:val="9"/>
  </w:num>
  <w:num w:numId="20">
    <w:abstractNumId w:val="9"/>
    <w:lvlOverride w:ilvl="0">
      <w:startOverride w:val="1"/>
    </w:lvlOverride>
  </w:num>
  <w:num w:numId="21">
    <w:abstractNumId w:val="16"/>
  </w:num>
  <w:num w:numId="22">
    <w:abstractNumId w:val="2"/>
  </w:num>
  <w:num w:numId="23">
    <w:abstractNumId w:val="7"/>
  </w:num>
  <w:num w:numId="24">
    <w:abstractNumId w:val="1"/>
  </w:num>
  <w:num w:numId="25">
    <w:abstractNumId w:val="11"/>
  </w:num>
  <w:num w:numId="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E8C"/>
    <w:rsid w:val="00007CDC"/>
    <w:rsid w:val="00011B28"/>
    <w:rsid w:val="00013D4E"/>
    <w:rsid w:val="00015D15"/>
    <w:rsid w:val="0001607D"/>
    <w:rsid w:val="000166E1"/>
    <w:rsid w:val="000213F2"/>
    <w:rsid w:val="0002149D"/>
    <w:rsid w:val="00022BE7"/>
    <w:rsid w:val="00022E21"/>
    <w:rsid w:val="00023728"/>
    <w:rsid w:val="00023F9E"/>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02ED"/>
    <w:rsid w:val="00052A07"/>
    <w:rsid w:val="000534E3"/>
    <w:rsid w:val="000551B7"/>
    <w:rsid w:val="000558A2"/>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3451"/>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46"/>
    <w:rsid w:val="000A0087"/>
    <w:rsid w:val="000A0C45"/>
    <w:rsid w:val="000A17D0"/>
    <w:rsid w:val="000A1B7B"/>
    <w:rsid w:val="000A1C71"/>
    <w:rsid w:val="000A259B"/>
    <w:rsid w:val="000A31C6"/>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4C1F"/>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C4E"/>
    <w:rsid w:val="00114D95"/>
    <w:rsid w:val="001153EA"/>
    <w:rsid w:val="001154F3"/>
    <w:rsid w:val="00115643"/>
    <w:rsid w:val="00115CAD"/>
    <w:rsid w:val="00116765"/>
    <w:rsid w:val="00120A6A"/>
    <w:rsid w:val="001219F5"/>
    <w:rsid w:val="00121A20"/>
    <w:rsid w:val="0012377F"/>
    <w:rsid w:val="00124314"/>
    <w:rsid w:val="00126911"/>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2B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1BD"/>
    <w:rsid w:val="00195E47"/>
    <w:rsid w:val="00196903"/>
    <w:rsid w:val="00197DCE"/>
    <w:rsid w:val="00197DF9"/>
    <w:rsid w:val="001A04BF"/>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3EA"/>
    <w:rsid w:val="001D7629"/>
    <w:rsid w:val="001E2139"/>
    <w:rsid w:val="001E3903"/>
    <w:rsid w:val="001E3DEC"/>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483C"/>
    <w:rsid w:val="00205002"/>
    <w:rsid w:val="002061E1"/>
    <w:rsid w:val="002069B2"/>
    <w:rsid w:val="00207F66"/>
    <w:rsid w:val="00207FA3"/>
    <w:rsid w:val="00214DA8"/>
    <w:rsid w:val="00215423"/>
    <w:rsid w:val="002158FA"/>
    <w:rsid w:val="00220600"/>
    <w:rsid w:val="002224DB"/>
    <w:rsid w:val="00223FCB"/>
    <w:rsid w:val="00224ECD"/>
    <w:rsid w:val="002252C3"/>
    <w:rsid w:val="00225C54"/>
    <w:rsid w:val="00226779"/>
    <w:rsid w:val="00230765"/>
    <w:rsid w:val="00230D18"/>
    <w:rsid w:val="002319E4"/>
    <w:rsid w:val="00235632"/>
    <w:rsid w:val="002357FE"/>
    <w:rsid w:val="00235872"/>
    <w:rsid w:val="00235E2D"/>
    <w:rsid w:val="0023731B"/>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47F6"/>
    <w:rsid w:val="00275186"/>
    <w:rsid w:val="002805F5"/>
    <w:rsid w:val="0028063B"/>
    <w:rsid w:val="00280751"/>
    <w:rsid w:val="00280D0F"/>
    <w:rsid w:val="00281833"/>
    <w:rsid w:val="0028245D"/>
    <w:rsid w:val="0028280A"/>
    <w:rsid w:val="0028398A"/>
    <w:rsid w:val="00283ADA"/>
    <w:rsid w:val="00283BD1"/>
    <w:rsid w:val="0028445F"/>
    <w:rsid w:val="002847B1"/>
    <w:rsid w:val="00284D0A"/>
    <w:rsid w:val="00285E6C"/>
    <w:rsid w:val="00286ACD"/>
    <w:rsid w:val="00287838"/>
    <w:rsid w:val="002907B5"/>
    <w:rsid w:val="0029093E"/>
    <w:rsid w:val="00291831"/>
    <w:rsid w:val="00292E75"/>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116"/>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1FA"/>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3703B"/>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263C"/>
    <w:rsid w:val="003939FF"/>
    <w:rsid w:val="00395217"/>
    <w:rsid w:val="0039669F"/>
    <w:rsid w:val="00396AB7"/>
    <w:rsid w:val="00396B92"/>
    <w:rsid w:val="00397704"/>
    <w:rsid w:val="003A0E46"/>
    <w:rsid w:val="003A1C26"/>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4B96"/>
    <w:rsid w:val="003C5938"/>
    <w:rsid w:val="003C5F0C"/>
    <w:rsid w:val="003C7806"/>
    <w:rsid w:val="003D095A"/>
    <w:rsid w:val="003D109F"/>
    <w:rsid w:val="003D2238"/>
    <w:rsid w:val="003D2478"/>
    <w:rsid w:val="003D2751"/>
    <w:rsid w:val="003D2C0C"/>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3E"/>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1580"/>
    <w:rsid w:val="00432EE6"/>
    <w:rsid w:val="00437447"/>
    <w:rsid w:val="004410B2"/>
    <w:rsid w:val="00441A92"/>
    <w:rsid w:val="004430D2"/>
    <w:rsid w:val="004431DC"/>
    <w:rsid w:val="004432D5"/>
    <w:rsid w:val="00444F56"/>
    <w:rsid w:val="00446488"/>
    <w:rsid w:val="004467A5"/>
    <w:rsid w:val="00451787"/>
    <w:rsid w:val="004517AA"/>
    <w:rsid w:val="00451A09"/>
    <w:rsid w:val="004528BD"/>
    <w:rsid w:val="00452CAC"/>
    <w:rsid w:val="00453801"/>
    <w:rsid w:val="00454E74"/>
    <w:rsid w:val="00457565"/>
    <w:rsid w:val="00457B71"/>
    <w:rsid w:val="00460A36"/>
    <w:rsid w:val="004611F3"/>
    <w:rsid w:val="0046252C"/>
    <w:rsid w:val="00464B24"/>
    <w:rsid w:val="0046625D"/>
    <w:rsid w:val="004669E2"/>
    <w:rsid w:val="00467B15"/>
    <w:rsid w:val="00467BAF"/>
    <w:rsid w:val="0047031D"/>
    <w:rsid w:val="00470C31"/>
    <w:rsid w:val="00470CFC"/>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569D"/>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0BA"/>
    <w:rsid w:val="00530DBE"/>
    <w:rsid w:val="005324D5"/>
    <w:rsid w:val="00532A62"/>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3D14"/>
    <w:rsid w:val="005A4764"/>
    <w:rsid w:val="005A4F93"/>
    <w:rsid w:val="005A662D"/>
    <w:rsid w:val="005B1409"/>
    <w:rsid w:val="005B2ED4"/>
    <w:rsid w:val="005B35D7"/>
    <w:rsid w:val="005B392A"/>
    <w:rsid w:val="005B3AA3"/>
    <w:rsid w:val="005B465D"/>
    <w:rsid w:val="005B5987"/>
    <w:rsid w:val="005B62E2"/>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4E4A"/>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A71"/>
    <w:rsid w:val="00620D80"/>
    <w:rsid w:val="00622265"/>
    <w:rsid w:val="00622917"/>
    <w:rsid w:val="006234A6"/>
    <w:rsid w:val="006239E4"/>
    <w:rsid w:val="00624EE3"/>
    <w:rsid w:val="0062564D"/>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3100"/>
    <w:rsid w:val="00653D40"/>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3B4"/>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2B2B"/>
    <w:rsid w:val="00683ECE"/>
    <w:rsid w:val="0068649B"/>
    <w:rsid w:val="006870E1"/>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2A"/>
    <w:rsid w:val="006F58D4"/>
    <w:rsid w:val="006F6582"/>
    <w:rsid w:val="006F6FB0"/>
    <w:rsid w:val="0070049D"/>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4C28"/>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47F6D"/>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9DC"/>
    <w:rsid w:val="007729A2"/>
    <w:rsid w:val="007729F6"/>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81F"/>
    <w:rsid w:val="00795AE4"/>
    <w:rsid w:val="00795C92"/>
    <w:rsid w:val="00796231"/>
    <w:rsid w:val="007A18FD"/>
    <w:rsid w:val="007A1CB3"/>
    <w:rsid w:val="007A21FF"/>
    <w:rsid w:val="007A306F"/>
    <w:rsid w:val="007A43A6"/>
    <w:rsid w:val="007A58A6"/>
    <w:rsid w:val="007B0E8D"/>
    <w:rsid w:val="007B104C"/>
    <w:rsid w:val="007B1462"/>
    <w:rsid w:val="007B1C48"/>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462"/>
    <w:rsid w:val="008235DB"/>
    <w:rsid w:val="00824AB4"/>
    <w:rsid w:val="0082546E"/>
    <w:rsid w:val="00825C42"/>
    <w:rsid w:val="00825D25"/>
    <w:rsid w:val="00826871"/>
    <w:rsid w:val="00827885"/>
    <w:rsid w:val="00827BD7"/>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3A06"/>
    <w:rsid w:val="00866190"/>
    <w:rsid w:val="008677F5"/>
    <w:rsid w:val="008677FD"/>
    <w:rsid w:val="008706D4"/>
    <w:rsid w:val="00870F8A"/>
    <w:rsid w:val="008719A4"/>
    <w:rsid w:val="00871CE9"/>
    <w:rsid w:val="00871D1F"/>
    <w:rsid w:val="00871D23"/>
    <w:rsid w:val="00872781"/>
    <w:rsid w:val="00874312"/>
    <w:rsid w:val="0087437C"/>
    <w:rsid w:val="00874E2F"/>
    <w:rsid w:val="00875CD7"/>
    <w:rsid w:val="00876B4D"/>
    <w:rsid w:val="00877F18"/>
    <w:rsid w:val="0088057B"/>
    <w:rsid w:val="008807B6"/>
    <w:rsid w:val="008854A5"/>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A11"/>
    <w:rsid w:val="008D4ACE"/>
    <w:rsid w:val="008D6D1A"/>
    <w:rsid w:val="008E065E"/>
    <w:rsid w:val="008E0927"/>
    <w:rsid w:val="008E1909"/>
    <w:rsid w:val="008E1BD3"/>
    <w:rsid w:val="008E2912"/>
    <w:rsid w:val="008E2F26"/>
    <w:rsid w:val="008E49FD"/>
    <w:rsid w:val="008E56DB"/>
    <w:rsid w:val="008F121F"/>
    <w:rsid w:val="008F1EAB"/>
    <w:rsid w:val="008F26BF"/>
    <w:rsid w:val="008F33DC"/>
    <w:rsid w:val="008F4687"/>
    <w:rsid w:val="008F477F"/>
    <w:rsid w:val="008F52E9"/>
    <w:rsid w:val="0090198B"/>
    <w:rsid w:val="00902350"/>
    <w:rsid w:val="0090336B"/>
    <w:rsid w:val="009053AA"/>
    <w:rsid w:val="00905E37"/>
    <w:rsid w:val="00906939"/>
    <w:rsid w:val="009079D2"/>
    <w:rsid w:val="00910B7D"/>
    <w:rsid w:val="00911267"/>
    <w:rsid w:val="0091163A"/>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1BD8"/>
    <w:rsid w:val="00962F46"/>
    <w:rsid w:val="0096430A"/>
    <w:rsid w:val="00964A1A"/>
    <w:rsid w:val="0096554B"/>
    <w:rsid w:val="0096584A"/>
    <w:rsid w:val="00965D9B"/>
    <w:rsid w:val="009665A0"/>
    <w:rsid w:val="00967A8D"/>
    <w:rsid w:val="00971F08"/>
    <w:rsid w:val="00973731"/>
    <w:rsid w:val="009749E6"/>
    <w:rsid w:val="00974F70"/>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694D"/>
    <w:rsid w:val="009B7E87"/>
    <w:rsid w:val="009B7F2D"/>
    <w:rsid w:val="009C0169"/>
    <w:rsid w:val="009C403E"/>
    <w:rsid w:val="009C42E1"/>
    <w:rsid w:val="009C4982"/>
    <w:rsid w:val="009C7E88"/>
    <w:rsid w:val="009D0386"/>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1797"/>
    <w:rsid w:val="009F1E05"/>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5F91"/>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12A4"/>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62C9"/>
    <w:rsid w:val="00A77EC4"/>
    <w:rsid w:val="00A805AA"/>
    <w:rsid w:val="00A86154"/>
    <w:rsid w:val="00A87946"/>
    <w:rsid w:val="00A92089"/>
    <w:rsid w:val="00A92879"/>
    <w:rsid w:val="00A9442A"/>
    <w:rsid w:val="00A96A2C"/>
    <w:rsid w:val="00A96B79"/>
    <w:rsid w:val="00A97941"/>
    <w:rsid w:val="00A97B24"/>
    <w:rsid w:val="00A97C7E"/>
    <w:rsid w:val="00A97CFB"/>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2917"/>
    <w:rsid w:val="00AE3AAF"/>
    <w:rsid w:val="00AE40E0"/>
    <w:rsid w:val="00AE4DBA"/>
    <w:rsid w:val="00AE4F07"/>
    <w:rsid w:val="00AE7EF4"/>
    <w:rsid w:val="00AF03BD"/>
    <w:rsid w:val="00AF0F66"/>
    <w:rsid w:val="00AF1C5D"/>
    <w:rsid w:val="00AF3162"/>
    <w:rsid w:val="00AF3E49"/>
    <w:rsid w:val="00AF42D7"/>
    <w:rsid w:val="00AF5392"/>
    <w:rsid w:val="00AF67A3"/>
    <w:rsid w:val="00B00588"/>
    <w:rsid w:val="00B006FE"/>
    <w:rsid w:val="00B007CB"/>
    <w:rsid w:val="00B02AA9"/>
    <w:rsid w:val="00B02FA3"/>
    <w:rsid w:val="00B05084"/>
    <w:rsid w:val="00B05271"/>
    <w:rsid w:val="00B07169"/>
    <w:rsid w:val="00B112A9"/>
    <w:rsid w:val="00B11929"/>
    <w:rsid w:val="00B1344E"/>
    <w:rsid w:val="00B14C74"/>
    <w:rsid w:val="00B157F9"/>
    <w:rsid w:val="00B17A64"/>
    <w:rsid w:val="00B20256"/>
    <w:rsid w:val="00B20D09"/>
    <w:rsid w:val="00B213FC"/>
    <w:rsid w:val="00B2153F"/>
    <w:rsid w:val="00B23C5C"/>
    <w:rsid w:val="00B257EB"/>
    <w:rsid w:val="00B25854"/>
    <w:rsid w:val="00B262D3"/>
    <w:rsid w:val="00B2763F"/>
    <w:rsid w:val="00B27AAC"/>
    <w:rsid w:val="00B300FC"/>
    <w:rsid w:val="00B302AE"/>
    <w:rsid w:val="00B30929"/>
    <w:rsid w:val="00B3197D"/>
    <w:rsid w:val="00B3274A"/>
    <w:rsid w:val="00B33626"/>
    <w:rsid w:val="00B33ABC"/>
    <w:rsid w:val="00B357B8"/>
    <w:rsid w:val="00B35DB0"/>
    <w:rsid w:val="00B36A0C"/>
    <w:rsid w:val="00B372AA"/>
    <w:rsid w:val="00B40445"/>
    <w:rsid w:val="00B409E0"/>
    <w:rsid w:val="00B41304"/>
    <w:rsid w:val="00B41888"/>
    <w:rsid w:val="00B4387C"/>
    <w:rsid w:val="00B45A52"/>
    <w:rsid w:val="00B46175"/>
    <w:rsid w:val="00B465A5"/>
    <w:rsid w:val="00B47AA0"/>
    <w:rsid w:val="00B51E7D"/>
    <w:rsid w:val="00B52EF3"/>
    <w:rsid w:val="00B53060"/>
    <w:rsid w:val="00B548B7"/>
    <w:rsid w:val="00B54B0B"/>
    <w:rsid w:val="00B561C3"/>
    <w:rsid w:val="00B62E78"/>
    <w:rsid w:val="00B6341E"/>
    <w:rsid w:val="00B664C7"/>
    <w:rsid w:val="00B66A32"/>
    <w:rsid w:val="00B6759E"/>
    <w:rsid w:val="00B7060C"/>
    <w:rsid w:val="00B72868"/>
    <w:rsid w:val="00B739F6"/>
    <w:rsid w:val="00B81093"/>
    <w:rsid w:val="00B81A6C"/>
    <w:rsid w:val="00B833E0"/>
    <w:rsid w:val="00B84049"/>
    <w:rsid w:val="00B84B6E"/>
    <w:rsid w:val="00B85103"/>
    <w:rsid w:val="00B85DE5"/>
    <w:rsid w:val="00B90ABF"/>
    <w:rsid w:val="00B90F73"/>
    <w:rsid w:val="00B911EE"/>
    <w:rsid w:val="00B93B59"/>
    <w:rsid w:val="00B9406A"/>
    <w:rsid w:val="00B94A8B"/>
    <w:rsid w:val="00B97237"/>
    <w:rsid w:val="00BA0793"/>
    <w:rsid w:val="00BA2280"/>
    <w:rsid w:val="00BA2A08"/>
    <w:rsid w:val="00BA3DF6"/>
    <w:rsid w:val="00BA4770"/>
    <w:rsid w:val="00BA56D2"/>
    <w:rsid w:val="00BA5B83"/>
    <w:rsid w:val="00BA70EF"/>
    <w:rsid w:val="00BA76E0"/>
    <w:rsid w:val="00BB04B5"/>
    <w:rsid w:val="00BB23EF"/>
    <w:rsid w:val="00BB2A25"/>
    <w:rsid w:val="00BB3148"/>
    <w:rsid w:val="00BB51E9"/>
    <w:rsid w:val="00BB6BE9"/>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6633"/>
    <w:rsid w:val="00BE6DC1"/>
    <w:rsid w:val="00BE7406"/>
    <w:rsid w:val="00BE7603"/>
    <w:rsid w:val="00BF3279"/>
    <w:rsid w:val="00BF52A6"/>
    <w:rsid w:val="00BF59B3"/>
    <w:rsid w:val="00BF73AE"/>
    <w:rsid w:val="00BF74C7"/>
    <w:rsid w:val="00BF7A73"/>
    <w:rsid w:val="00C015F1"/>
    <w:rsid w:val="00C01AEF"/>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1E06"/>
    <w:rsid w:val="00C2555E"/>
    <w:rsid w:val="00C268E6"/>
    <w:rsid w:val="00C27548"/>
    <w:rsid w:val="00C279B5"/>
    <w:rsid w:val="00C27C45"/>
    <w:rsid w:val="00C30252"/>
    <w:rsid w:val="00C32B3C"/>
    <w:rsid w:val="00C3719D"/>
    <w:rsid w:val="00C37CB2"/>
    <w:rsid w:val="00C42E00"/>
    <w:rsid w:val="00C44095"/>
    <w:rsid w:val="00C447CC"/>
    <w:rsid w:val="00C44C0A"/>
    <w:rsid w:val="00C45CF0"/>
    <w:rsid w:val="00C473A5"/>
    <w:rsid w:val="00C50603"/>
    <w:rsid w:val="00C52337"/>
    <w:rsid w:val="00C536A1"/>
    <w:rsid w:val="00C54995"/>
    <w:rsid w:val="00C54D41"/>
    <w:rsid w:val="00C54E00"/>
    <w:rsid w:val="00C56743"/>
    <w:rsid w:val="00C60532"/>
    <w:rsid w:val="00C605DA"/>
    <w:rsid w:val="00C60783"/>
    <w:rsid w:val="00C63C98"/>
    <w:rsid w:val="00C6418B"/>
    <w:rsid w:val="00C642CF"/>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64AE"/>
    <w:rsid w:val="00C9757C"/>
    <w:rsid w:val="00CA1ED8"/>
    <w:rsid w:val="00CA598A"/>
    <w:rsid w:val="00CA5D4C"/>
    <w:rsid w:val="00CB0854"/>
    <w:rsid w:val="00CB0891"/>
    <w:rsid w:val="00CB1E08"/>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22C4"/>
    <w:rsid w:val="00CE3ECB"/>
    <w:rsid w:val="00CE7561"/>
    <w:rsid w:val="00CF1354"/>
    <w:rsid w:val="00CF3B1F"/>
    <w:rsid w:val="00CF3BF6"/>
    <w:rsid w:val="00CF625B"/>
    <w:rsid w:val="00CF687E"/>
    <w:rsid w:val="00CF7BBA"/>
    <w:rsid w:val="00D0224D"/>
    <w:rsid w:val="00D0349B"/>
    <w:rsid w:val="00D04B8D"/>
    <w:rsid w:val="00D05582"/>
    <w:rsid w:val="00D056D3"/>
    <w:rsid w:val="00D065E3"/>
    <w:rsid w:val="00D077C2"/>
    <w:rsid w:val="00D10249"/>
    <w:rsid w:val="00D10CA4"/>
    <w:rsid w:val="00D115C3"/>
    <w:rsid w:val="00D11897"/>
    <w:rsid w:val="00D13135"/>
    <w:rsid w:val="00D13E4E"/>
    <w:rsid w:val="00D13E9E"/>
    <w:rsid w:val="00D16DEC"/>
    <w:rsid w:val="00D21577"/>
    <w:rsid w:val="00D21BBD"/>
    <w:rsid w:val="00D224B7"/>
    <w:rsid w:val="00D2379A"/>
    <w:rsid w:val="00D239A7"/>
    <w:rsid w:val="00D23F47"/>
    <w:rsid w:val="00D277E7"/>
    <w:rsid w:val="00D324EC"/>
    <w:rsid w:val="00D33927"/>
    <w:rsid w:val="00D34501"/>
    <w:rsid w:val="00D36E71"/>
    <w:rsid w:val="00D37D87"/>
    <w:rsid w:val="00D40526"/>
    <w:rsid w:val="00D40B33"/>
    <w:rsid w:val="00D42B45"/>
    <w:rsid w:val="00D4318F"/>
    <w:rsid w:val="00D4348B"/>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52B5"/>
    <w:rsid w:val="00D66155"/>
    <w:rsid w:val="00D70078"/>
    <w:rsid w:val="00D708B0"/>
    <w:rsid w:val="00D70BD0"/>
    <w:rsid w:val="00D70FB5"/>
    <w:rsid w:val="00D7169A"/>
    <w:rsid w:val="00D71CA5"/>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1D0"/>
    <w:rsid w:val="00D87E6E"/>
    <w:rsid w:val="00D91792"/>
    <w:rsid w:val="00D9196D"/>
    <w:rsid w:val="00D92067"/>
    <w:rsid w:val="00D92430"/>
    <w:rsid w:val="00D92900"/>
    <w:rsid w:val="00D92982"/>
    <w:rsid w:val="00D96669"/>
    <w:rsid w:val="00DA1AFD"/>
    <w:rsid w:val="00DA305E"/>
    <w:rsid w:val="00DA37A0"/>
    <w:rsid w:val="00DA5417"/>
    <w:rsid w:val="00DA56E8"/>
    <w:rsid w:val="00DA5E58"/>
    <w:rsid w:val="00DB0A9F"/>
    <w:rsid w:val="00DB377D"/>
    <w:rsid w:val="00DB409E"/>
    <w:rsid w:val="00DB6774"/>
    <w:rsid w:val="00DB73CE"/>
    <w:rsid w:val="00DC0AD8"/>
    <w:rsid w:val="00DC2D36"/>
    <w:rsid w:val="00DC4EFB"/>
    <w:rsid w:val="00DC53EF"/>
    <w:rsid w:val="00DD42B8"/>
    <w:rsid w:val="00DE0A9C"/>
    <w:rsid w:val="00DE1551"/>
    <w:rsid w:val="00DE3F4D"/>
    <w:rsid w:val="00DE4355"/>
    <w:rsid w:val="00DE5608"/>
    <w:rsid w:val="00DE563A"/>
    <w:rsid w:val="00DE58D0"/>
    <w:rsid w:val="00DE654F"/>
    <w:rsid w:val="00DE72D3"/>
    <w:rsid w:val="00DE7486"/>
    <w:rsid w:val="00DF0B6E"/>
    <w:rsid w:val="00DF15E0"/>
    <w:rsid w:val="00DF37A0"/>
    <w:rsid w:val="00DF6268"/>
    <w:rsid w:val="00DF79E1"/>
    <w:rsid w:val="00DF7DEE"/>
    <w:rsid w:val="00E015F5"/>
    <w:rsid w:val="00E0178E"/>
    <w:rsid w:val="00E02D3E"/>
    <w:rsid w:val="00E04119"/>
    <w:rsid w:val="00E078B0"/>
    <w:rsid w:val="00E110E7"/>
    <w:rsid w:val="00E11B20"/>
    <w:rsid w:val="00E12B44"/>
    <w:rsid w:val="00E139A8"/>
    <w:rsid w:val="00E16DE0"/>
    <w:rsid w:val="00E17FA2"/>
    <w:rsid w:val="00E22330"/>
    <w:rsid w:val="00E30136"/>
    <w:rsid w:val="00E30B5A"/>
    <w:rsid w:val="00E3123D"/>
    <w:rsid w:val="00E31461"/>
    <w:rsid w:val="00E31D43"/>
    <w:rsid w:val="00E31E94"/>
    <w:rsid w:val="00E32608"/>
    <w:rsid w:val="00E33039"/>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1198"/>
    <w:rsid w:val="00E72D69"/>
    <w:rsid w:val="00E72EFC"/>
    <w:rsid w:val="00E7542F"/>
    <w:rsid w:val="00E758EC"/>
    <w:rsid w:val="00E76891"/>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23CA"/>
    <w:rsid w:val="00EA3B2A"/>
    <w:rsid w:val="00EA453F"/>
    <w:rsid w:val="00EA5A5F"/>
    <w:rsid w:val="00EA5F46"/>
    <w:rsid w:val="00EA7A41"/>
    <w:rsid w:val="00EB00EA"/>
    <w:rsid w:val="00EB077B"/>
    <w:rsid w:val="00EB0B0D"/>
    <w:rsid w:val="00EB0D19"/>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46BA"/>
    <w:rsid w:val="00F30828"/>
    <w:rsid w:val="00F313D6"/>
    <w:rsid w:val="00F31AEF"/>
    <w:rsid w:val="00F35CDB"/>
    <w:rsid w:val="00F36300"/>
    <w:rsid w:val="00F40E33"/>
    <w:rsid w:val="00F40F0C"/>
    <w:rsid w:val="00F43817"/>
    <w:rsid w:val="00F44155"/>
    <w:rsid w:val="00F44197"/>
    <w:rsid w:val="00F4467B"/>
    <w:rsid w:val="00F4766C"/>
    <w:rsid w:val="00F5060E"/>
    <w:rsid w:val="00F507D1"/>
    <w:rsid w:val="00F50817"/>
    <w:rsid w:val="00F50B83"/>
    <w:rsid w:val="00F519CE"/>
    <w:rsid w:val="00F51ADA"/>
    <w:rsid w:val="00F54210"/>
    <w:rsid w:val="00F54407"/>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3CBD"/>
    <w:rsid w:val="00FB4C80"/>
    <w:rsid w:val="00FB50E4"/>
    <w:rsid w:val="00FB6A6A"/>
    <w:rsid w:val="00FB79AB"/>
    <w:rsid w:val="00FB7D70"/>
    <w:rsid w:val="00FC0065"/>
    <w:rsid w:val="00FC103A"/>
    <w:rsid w:val="00FC272F"/>
    <w:rsid w:val="00FC57C2"/>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3847"/>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iPriority="3" w:unhideWhenUsed="0"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Code"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uiPriority w:val="99"/>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iPriority="3" w:unhideWhenUsed="0"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Code"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uiPriority w:val="99"/>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7240</Characters>
  <Application>Microsoft Office Word</Application>
  <DocSecurity>0</DocSecurity>
  <Lines>60</Lines>
  <Paragraphs>16</Paragraphs>
  <ScaleCrop>false</ScaleCrop>
  <LinksUpToDate>false</LinksUpToDate>
  <CharactersWithSpaces>8494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2023-05-12T07:13:00Z</dcterms:created>
  <dcterms:modified xsi:type="dcterms:W3CDTF">2023-09-28T09:53:00Z</dcterms:modified>
</cp:coreProperties>
</file>